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AE" w:rsidRDefault="004D7ED6">
      <w:p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T.C.</w:t>
      </w:r>
    </w:p>
    <w:p w:rsidR="00594AAE" w:rsidRDefault="004D7ED6">
      <w:p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DİCLE ÜNİVERSİTESİ KİMYASAL, BİYOLOJİK, RADYOLOJİK VE NÜKLEER TEHLİKELERE DAİR GÖREV YÖNERGESİ</w:t>
      </w:r>
    </w:p>
    <w:p w:rsidR="00594AAE" w:rsidRDefault="00594AAE">
      <w:pPr>
        <w:pBdr>
          <w:top w:val="nil"/>
          <w:left w:val="nil"/>
          <w:bottom w:val="nil"/>
          <w:right w:val="nil"/>
          <w:between w:val="nil"/>
        </w:pBdr>
        <w:spacing w:after="0"/>
        <w:rPr>
          <w:color w:val="000000"/>
        </w:rPr>
      </w:pPr>
    </w:p>
    <w:p w:rsidR="00594AAE" w:rsidRDefault="004D7ED6">
      <w:p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BİRİNCİ BÖLÜM </w:t>
      </w:r>
    </w:p>
    <w:p w:rsidR="00594AAE" w:rsidRDefault="004D7ED6">
      <w:p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Amaç, Kapsam, Yasal Dayanak, Tanımlar ve Kısaltmalar</w:t>
      </w:r>
    </w:p>
    <w:p w:rsidR="00594AAE" w:rsidRDefault="008E5136">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Amaç</w:t>
      </w:r>
    </w:p>
    <w:p w:rsidR="00594AAE" w:rsidRDefault="008E5136">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MADDE 1- (1)</w:t>
      </w:r>
      <w:r w:rsidR="004D7ED6">
        <w:rPr>
          <w:rFonts w:ascii="Times New Roman" w:eastAsia="Times New Roman" w:hAnsi="Times New Roman" w:cs="Times New Roman"/>
          <w:color w:val="000000"/>
        </w:rPr>
        <w:t xml:space="preserve"> Bu Yönergenin amacı; üniversitemiz içinde meydana gelerek üniversitemizi </w:t>
      </w:r>
      <w:r w:rsidR="00E21371">
        <w:rPr>
          <w:rFonts w:ascii="Times New Roman" w:eastAsia="Times New Roman" w:hAnsi="Times New Roman" w:cs="Times New Roman"/>
          <w:color w:val="000000"/>
        </w:rPr>
        <w:t xml:space="preserve">etkileyebilecek olan </w:t>
      </w:r>
      <w:r w:rsidR="00E21371" w:rsidRPr="004D7ED6">
        <w:rPr>
          <w:rFonts w:ascii="Times New Roman" w:eastAsia="Times New Roman" w:hAnsi="Times New Roman" w:cs="Times New Roman"/>
          <w:color w:val="000000"/>
        </w:rPr>
        <w:t>kimyasal,</w:t>
      </w:r>
      <w:r>
        <w:rPr>
          <w:rFonts w:ascii="Times New Roman" w:eastAsia="Times New Roman" w:hAnsi="Times New Roman" w:cs="Times New Roman"/>
          <w:color w:val="000000"/>
        </w:rPr>
        <w:t xml:space="preserve"> </w:t>
      </w:r>
      <w:r w:rsidR="004D7ED6" w:rsidRPr="004D7ED6">
        <w:rPr>
          <w:rFonts w:ascii="Times New Roman" w:eastAsia="Times New Roman" w:hAnsi="Times New Roman" w:cs="Times New Roman"/>
          <w:color w:val="000000"/>
        </w:rPr>
        <w:t>biyolojik</w:t>
      </w:r>
      <w:r w:rsidR="004D7ED6">
        <w:rPr>
          <w:rFonts w:ascii="Times New Roman" w:eastAsia="Times New Roman" w:hAnsi="Times New Roman" w:cs="Times New Roman"/>
          <w:color w:val="000000"/>
        </w:rPr>
        <w:t>, radyolojik ve nükleer tehdit ve tehlikelere karşı üniversitemiz öğrencileri ve personelinin sağlığının korunması, can ve mal kaybının en aza indirilmesi için gerekli tedbirlerin alınması amacıyla üniversitemizin tehlike öncesi, tehlike sırası ve sonrasına ilişkin görev ve sorumluluklarını belirlemektir.</w:t>
      </w:r>
    </w:p>
    <w:p w:rsidR="00594AAE" w:rsidRDefault="00594AAE">
      <w:pPr>
        <w:pBdr>
          <w:top w:val="nil"/>
          <w:left w:val="nil"/>
          <w:bottom w:val="nil"/>
          <w:right w:val="nil"/>
          <w:between w:val="nil"/>
        </w:pBdr>
        <w:spacing w:after="0"/>
        <w:jc w:val="both"/>
        <w:rPr>
          <w:rFonts w:ascii="Times New Roman" w:eastAsia="Times New Roman" w:hAnsi="Times New Roman" w:cs="Times New Roman"/>
          <w:color w:val="000000"/>
        </w:rPr>
      </w:pPr>
    </w:p>
    <w:p w:rsidR="00594AAE" w:rsidRDefault="008E5136">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Kapsam</w:t>
      </w:r>
    </w:p>
    <w:p w:rsidR="00594AAE" w:rsidRDefault="008E5136">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MADDE 2-(1)</w:t>
      </w:r>
      <w:r w:rsidR="004D7ED6">
        <w:rPr>
          <w:rFonts w:ascii="Times New Roman" w:eastAsia="Times New Roman" w:hAnsi="Times New Roman" w:cs="Times New Roman"/>
          <w:color w:val="000000"/>
        </w:rPr>
        <w:t xml:space="preserve"> Bu Yönerge; kimyasal, biyolojik, radyolojik ve nükleer tehdit ve tehlikelere karşı alınacak önleml</w:t>
      </w:r>
      <w:r w:rsidR="00E21371">
        <w:rPr>
          <w:rFonts w:ascii="Times New Roman" w:eastAsia="Times New Roman" w:hAnsi="Times New Roman" w:cs="Times New Roman"/>
          <w:color w:val="000000"/>
        </w:rPr>
        <w:t xml:space="preserve">er ve yapılacak hizmetleri </w:t>
      </w:r>
      <w:r w:rsidRPr="008E5136">
        <w:rPr>
          <w:rFonts w:ascii="Times New Roman" w:eastAsia="Times New Roman" w:hAnsi="Times New Roman" w:cs="Times New Roman"/>
          <w:color w:val="000000"/>
        </w:rPr>
        <w:t>yürüt</w:t>
      </w:r>
      <w:r>
        <w:rPr>
          <w:rFonts w:ascii="Times New Roman" w:eastAsia="Times New Roman" w:hAnsi="Times New Roman" w:cs="Times New Roman"/>
          <w:color w:val="000000"/>
        </w:rPr>
        <w:t>mekle</w:t>
      </w:r>
      <w:r w:rsidR="004D7ED6">
        <w:rPr>
          <w:rFonts w:ascii="Times New Roman" w:eastAsia="Times New Roman" w:hAnsi="Times New Roman" w:cs="Times New Roman"/>
          <w:color w:val="000000"/>
        </w:rPr>
        <w:t xml:space="preserve"> görevli üniversitemizin tehlike öncesinde yapması gereken planlama ve hazırlık çalışmaları, tehlike sırasında ve tehlike sonrasında acil müdahale ve iyileştirme faaliyetlerine ilişkin işbirliği, koordinasyon ve karşılıklı yardımlaşma esaslarını kapsar.</w:t>
      </w:r>
    </w:p>
    <w:p w:rsidR="00594AAE" w:rsidRDefault="00594AAE">
      <w:pPr>
        <w:pBdr>
          <w:top w:val="nil"/>
          <w:left w:val="nil"/>
          <w:bottom w:val="nil"/>
          <w:right w:val="nil"/>
          <w:between w:val="nil"/>
        </w:pBdr>
        <w:spacing w:after="0"/>
        <w:jc w:val="both"/>
        <w:rPr>
          <w:rFonts w:ascii="Times New Roman" w:eastAsia="Times New Roman" w:hAnsi="Times New Roman" w:cs="Times New Roman"/>
          <w:color w:val="000000"/>
        </w:rPr>
      </w:pPr>
    </w:p>
    <w:p w:rsidR="00594AAE" w:rsidRDefault="008E5136">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Yasal dayanak</w:t>
      </w:r>
    </w:p>
    <w:p w:rsidR="00594AAE" w:rsidRDefault="008E5136">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MADDE 3- (1)</w:t>
      </w:r>
      <w:r w:rsidR="004D7ED6">
        <w:rPr>
          <w:rFonts w:ascii="Times New Roman" w:eastAsia="Times New Roman" w:hAnsi="Times New Roman" w:cs="Times New Roman"/>
          <w:color w:val="000000"/>
        </w:rPr>
        <w:t xml:space="preserve"> Bu Yönerge 03.05.2012 tarih ve 28281 sayılı Başbakanlık, Afet ve Acil Durum Yönetimi Başkanlığının Kimyasal, Biyolojik, Radyoaktif ve Nükleer Tehlikelere Dair Görev Yönetmeliğinin 12 inci maddesi gereğince hazırlanmıştır.</w:t>
      </w:r>
    </w:p>
    <w:p w:rsidR="00594AAE" w:rsidRDefault="00594AAE">
      <w:pPr>
        <w:pBdr>
          <w:top w:val="nil"/>
          <w:left w:val="nil"/>
          <w:bottom w:val="nil"/>
          <w:right w:val="nil"/>
          <w:between w:val="nil"/>
        </w:pBdr>
        <w:spacing w:after="0"/>
        <w:jc w:val="both"/>
        <w:rPr>
          <w:rFonts w:ascii="Times New Roman" w:eastAsia="Times New Roman" w:hAnsi="Times New Roman" w:cs="Times New Roman"/>
          <w:color w:val="000000"/>
        </w:rPr>
      </w:pPr>
    </w:p>
    <w:p w:rsidR="00594AAE" w:rsidRDefault="008E5136">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 xml:space="preserve">Tanımlar ve Kısaltmalar </w:t>
      </w:r>
    </w:p>
    <w:p w:rsidR="00594AAE" w:rsidRDefault="008E5136">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 xml:space="preserve">MADDE 4- (1) </w:t>
      </w:r>
      <w:r w:rsidR="004D7ED6">
        <w:rPr>
          <w:rFonts w:ascii="Times New Roman" w:eastAsia="Times New Roman" w:hAnsi="Times New Roman" w:cs="Times New Roman"/>
          <w:color w:val="000000"/>
        </w:rPr>
        <w:t>Bu Yönergede;</w:t>
      </w:r>
    </w:p>
    <w:p w:rsidR="00594AAE" w:rsidRDefault="00594AAE">
      <w:pPr>
        <w:pBdr>
          <w:top w:val="nil"/>
          <w:left w:val="nil"/>
          <w:bottom w:val="nil"/>
          <w:right w:val="nil"/>
          <w:between w:val="nil"/>
        </w:pBdr>
        <w:spacing w:after="0"/>
        <w:rPr>
          <w:rFonts w:ascii="Times New Roman" w:eastAsia="Times New Roman" w:hAnsi="Times New Roman" w:cs="Times New Roman"/>
          <w:color w:val="000000"/>
        </w:rPr>
      </w:pP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a) Acil Durum Ekipleri:</w:t>
      </w:r>
      <w:r w:rsidR="004D7ED6">
        <w:rPr>
          <w:rFonts w:ascii="Times New Roman" w:eastAsia="Times New Roman" w:hAnsi="Times New Roman" w:cs="Times New Roman"/>
        </w:rPr>
        <w:t xml:space="preserve"> Olay bölgesinde kurtarma, arındırma, itfaiye, acil tıbbi müdahale, ilk yardım gibi acil müdahale hizmetlerini yürüten ekipleri,</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 xml:space="preserve">b) </w:t>
      </w:r>
      <w:r w:rsidR="004D7ED6" w:rsidRPr="00E21371">
        <w:rPr>
          <w:rFonts w:ascii="Times New Roman" w:eastAsia="Times New Roman" w:hAnsi="Times New Roman" w:cs="Times New Roman"/>
          <w:b/>
        </w:rPr>
        <w:t>Bilimsel ve Teknoloji Uygulama ve Araştırma Merkezi:</w:t>
      </w:r>
      <w:r w:rsidR="004D7ED6" w:rsidRPr="00E21371">
        <w:rPr>
          <w:rFonts w:ascii="Times New Roman" w:eastAsia="Times New Roman" w:hAnsi="Times New Roman" w:cs="Times New Roman"/>
        </w:rPr>
        <w:t xml:space="preserve"> Dicle Üniversitesi, Bilimsel ve Teknoloji Uygulama ve Araştırma Merkezini,</w:t>
      </w:r>
    </w:p>
    <w:p w:rsidR="00594AAE" w:rsidRDefault="008E5136">
      <w:pPr>
        <w:pBdr>
          <w:top w:val="nil"/>
          <w:left w:val="nil"/>
          <w:bottom w:val="nil"/>
          <w:right w:val="nil"/>
          <w:between w:val="nil"/>
        </w:pBdr>
        <w:spacing w:before="180" w:after="18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c) Birim Amirleri:</w:t>
      </w:r>
      <w:r w:rsidR="004D7ED6">
        <w:rPr>
          <w:rFonts w:ascii="Times New Roman" w:eastAsia="Times New Roman" w:hAnsi="Times New Roman" w:cs="Times New Roman"/>
          <w:color w:val="000000"/>
        </w:rPr>
        <w:t xml:space="preserve"> </w:t>
      </w:r>
      <w:proofErr w:type="gramStart"/>
      <w:r w:rsidR="004D7ED6">
        <w:rPr>
          <w:rFonts w:ascii="Times New Roman" w:eastAsia="Times New Roman" w:hAnsi="Times New Roman" w:cs="Times New Roman"/>
          <w:color w:val="000000"/>
        </w:rPr>
        <w:t>Üniversitemiz  akademik</w:t>
      </w:r>
      <w:proofErr w:type="gramEnd"/>
      <w:r w:rsidR="004D7ED6">
        <w:rPr>
          <w:rFonts w:ascii="Times New Roman" w:eastAsia="Times New Roman" w:hAnsi="Times New Roman" w:cs="Times New Roman"/>
          <w:color w:val="000000"/>
        </w:rPr>
        <w:t xml:space="preserve"> birimleri; Rektörlük, Fakülte, Enstitü, Yüksekokul ve Meslek Yüksekokullarında görev yapan Rektör, Dekan, Enstitü ve Yüksekokul Müdürü, görevinde bulunan üst düzey akademik yöneticilerini,</w:t>
      </w:r>
    </w:p>
    <w:p w:rsidR="00594AAE" w:rsidRDefault="008E5136">
      <w:pPr>
        <w:pBdr>
          <w:top w:val="nil"/>
          <w:left w:val="nil"/>
          <w:bottom w:val="nil"/>
          <w:right w:val="nil"/>
          <w:between w:val="nil"/>
        </w:pBdr>
        <w:spacing w:before="180" w:after="18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ç) Genel Sekreterlik:</w:t>
      </w:r>
      <w:r w:rsidR="004D7ED6">
        <w:rPr>
          <w:rFonts w:ascii="Times New Roman" w:eastAsia="Times New Roman" w:hAnsi="Times New Roman" w:cs="Times New Roman"/>
          <w:color w:val="000000"/>
        </w:rPr>
        <w:t xml:space="preserve"> Dicle Üniversitesi Genel Sekreterliğini,</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d) Havalandırma ve Klimatize Etmek:</w:t>
      </w:r>
      <w:r w:rsidR="004D7ED6">
        <w:rPr>
          <w:rFonts w:ascii="Times New Roman" w:eastAsia="Times New Roman" w:hAnsi="Times New Roman" w:cs="Times New Roman"/>
        </w:rPr>
        <w:t xml:space="preserve"> Kimyasal madde depoları ve laboratuarlarında kimyasal madde buharlarının uzaklaştırılması ve sıcaklığın uygun koşullara getirilmesini,</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e) KBRN:</w:t>
      </w:r>
      <w:r w:rsidR="004D7ED6">
        <w:rPr>
          <w:rFonts w:ascii="Times New Roman" w:eastAsia="Times New Roman" w:hAnsi="Times New Roman" w:cs="Times New Roman"/>
        </w:rPr>
        <w:t xml:space="preserve"> Kimyasal, biyolojik, radyolojik ve nükleeri,</w:t>
      </w:r>
    </w:p>
    <w:p w:rsidR="00594AAE" w:rsidRDefault="008E5136">
      <w:pPr>
        <w:pBdr>
          <w:top w:val="nil"/>
          <w:left w:val="nil"/>
          <w:bottom w:val="nil"/>
          <w:right w:val="nil"/>
          <w:between w:val="nil"/>
        </w:pBdr>
        <w:spacing w:before="180" w:after="18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f) KBRN Riski:</w:t>
      </w:r>
      <w:r w:rsidR="004D7ED6">
        <w:rPr>
          <w:rFonts w:ascii="Times New Roman" w:eastAsia="Times New Roman" w:hAnsi="Times New Roman" w:cs="Times New Roman"/>
          <w:color w:val="000000"/>
        </w:rPr>
        <w:t xml:space="preserve"> Kitle imha silahları, KBRN harp maddeleri ve tehlikeli endüstriyel maddeler ile bu nitelikteki tehlikeli atıkların kasten veya hatalı olarak çevre ve insan sağlığına zarar verme olasılığını ve zararın ciddiyet derecesini,</w:t>
      </w:r>
    </w:p>
    <w:p w:rsidR="00594AAE" w:rsidRDefault="008E5136">
      <w:pPr>
        <w:pBdr>
          <w:top w:val="nil"/>
          <w:left w:val="nil"/>
          <w:bottom w:val="nil"/>
          <w:right w:val="nil"/>
          <w:between w:val="nil"/>
        </w:pBdr>
        <w:spacing w:before="180" w:after="180"/>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b/>
      </w:r>
      <w:r w:rsidR="004D7ED6">
        <w:rPr>
          <w:rFonts w:ascii="Times New Roman" w:eastAsia="Times New Roman" w:hAnsi="Times New Roman" w:cs="Times New Roman"/>
          <w:b/>
          <w:color w:val="000000"/>
        </w:rPr>
        <w:t>g) KBRN Risk Analizi:</w:t>
      </w:r>
      <w:r w:rsidR="004D7ED6">
        <w:rPr>
          <w:rFonts w:ascii="Times New Roman" w:eastAsia="Times New Roman" w:hAnsi="Times New Roman" w:cs="Times New Roman"/>
          <w:color w:val="000000"/>
        </w:rPr>
        <w:t xml:space="preserve"> Kitle imha silahları, KBRN harp maddeleri ve tehlikeli endüstriyel maddeler ile bu nitelikteki zararlı atıkların, ülkenin bir bölümü veya bütünü üzerinde, kasten veya sehven kullanılma veya yayılma olasılığının değerlendirilmesi faaliyetlerini,</w:t>
      </w:r>
    </w:p>
    <w:p w:rsidR="00594AAE" w:rsidRDefault="008E5136">
      <w:pPr>
        <w:pBdr>
          <w:top w:val="nil"/>
          <w:left w:val="nil"/>
          <w:bottom w:val="nil"/>
          <w:right w:val="nil"/>
          <w:between w:val="nil"/>
        </w:pBdr>
        <w:spacing w:before="180" w:after="18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ğ) KBRN Tehdit ve Tehlikeleri:</w:t>
      </w:r>
      <w:r w:rsidR="004D7ED6">
        <w:rPr>
          <w:rFonts w:ascii="Times New Roman" w:eastAsia="Times New Roman" w:hAnsi="Times New Roman" w:cs="Times New Roman"/>
          <w:color w:val="000000"/>
        </w:rPr>
        <w:t xml:space="preserve"> Petrol kirlenmeleri ve salgın hastalıklar hariç olmak üzere; kimyasal, biyolojik, radyolojik ve nükleer maddeler, KBRN harp maddeleri ve tehlikeli endüstriyel maddeler ile bu nitelikteki tehlikeli atıkların araştırılması, üretimi, işlenmesi, depolanması, nakledilmesi, kullanılması ve atık olarak işlem görmesi sırasında gerekli önlemler alınmadığında, çevre ve insan sağlığını tehdit eden tehlike durumlarını, kitle imha silahlarının etkileri ile bu silah ve maddelerle yapılan kaçakçılık, terör ve sabotaj eylemlerini,</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h) KBRN Tehlike Durum Yönetimi:</w:t>
      </w:r>
      <w:r w:rsidR="004D7ED6">
        <w:rPr>
          <w:rFonts w:ascii="Times New Roman" w:eastAsia="Times New Roman" w:hAnsi="Times New Roman" w:cs="Times New Roman"/>
        </w:rPr>
        <w:t xml:space="preserve"> Rektör tarafından görevlendirilen bir Rektör Yardımcısı başkanlığında, Tıp Fakültesi Dekanı, Fen Fakültesi Dekanı, Mühendislik Fakültesi Dekanı, Genel Sekreter, Yapı İşleri ve Teknik Daire Başkanı, Bilimsel ve Teknoloji Uygulama ve Araştırma Merkezi Müdürü, Sivil Savunma Uzmanı ile Koruma ve Güvenlik Amirliğinden oluşan, Dicle Üniversitesi, Kimyasal, Biyolojik, Radyolojik, Nükleer Tehlike Durum Yönetimini,</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ı) Sivil Savunma Uzmanlığı:</w:t>
      </w:r>
      <w:r w:rsidR="004D7ED6">
        <w:rPr>
          <w:rFonts w:ascii="Times New Roman" w:eastAsia="Times New Roman" w:hAnsi="Times New Roman" w:cs="Times New Roman"/>
        </w:rPr>
        <w:t xml:space="preserve"> Dicle Üniversitesi, Sivil Savunma Uzmanlığını,</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i) Koruma ve Güvenlik Amirliği:</w:t>
      </w:r>
      <w:r w:rsidR="004D7ED6">
        <w:rPr>
          <w:rFonts w:ascii="Times New Roman" w:eastAsia="Times New Roman" w:hAnsi="Times New Roman" w:cs="Times New Roman"/>
        </w:rPr>
        <w:t xml:space="preserve"> Dicle Üniversitesi, Koruma ve Güvenlik Amirliğini,</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j) Rektörlük:</w:t>
      </w:r>
      <w:r w:rsidR="004D7ED6">
        <w:rPr>
          <w:rFonts w:ascii="Times New Roman" w:eastAsia="Times New Roman" w:hAnsi="Times New Roman" w:cs="Times New Roman"/>
        </w:rPr>
        <w:t xml:space="preserve"> Dicle Üniversitesi Rektörlüğünü,</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k) Tehlikeli Madde:</w:t>
      </w:r>
      <w:r w:rsidR="004D7ED6">
        <w:rPr>
          <w:rFonts w:ascii="Times New Roman" w:eastAsia="Times New Roman" w:hAnsi="Times New Roman" w:cs="Times New Roman"/>
        </w:rPr>
        <w:t xml:space="preserve"> 26/12/2008 tarihli ve 27092 (mükerrer) sayılı Resmi Gazete’de yayımlanan Tehlikeli Maddelerin ve Müstahzarların Sınıflandırılması, Ambalajlanması ve Etiketlenmesi Hakkında Yönetmelikte belirtilen tehlikeli maddeleri,</w:t>
      </w:r>
    </w:p>
    <w:p w:rsidR="00594AAE" w:rsidRDefault="008E5136">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l) Üniversite:</w:t>
      </w:r>
      <w:r w:rsidR="004D7ED6">
        <w:rPr>
          <w:rFonts w:ascii="Times New Roman" w:eastAsia="Times New Roman" w:hAnsi="Times New Roman" w:cs="Times New Roman"/>
          <w:color w:val="000000"/>
        </w:rPr>
        <w:t xml:space="preserve"> Dicle Üniversitesini,</w:t>
      </w:r>
    </w:p>
    <w:p w:rsidR="00594AAE" w:rsidRDefault="008E5136">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m) Yapı İşleri ve Teknik Daire Başkanlığı:</w:t>
      </w:r>
      <w:r w:rsidR="004D7ED6">
        <w:rPr>
          <w:rFonts w:ascii="Times New Roman" w:eastAsia="Times New Roman" w:hAnsi="Times New Roman" w:cs="Times New Roman"/>
          <w:color w:val="000000"/>
        </w:rPr>
        <w:t xml:space="preserve"> Dicle Üniversitesi, Yapı İşleri ve Teknik Daire Başkanlığını,</w:t>
      </w:r>
    </w:p>
    <w:p w:rsidR="00594AAE" w:rsidRDefault="008E5136">
      <w:pPr>
        <w:pBdr>
          <w:top w:val="nil"/>
          <w:left w:val="nil"/>
          <w:bottom w:val="nil"/>
          <w:right w:val="nil"/>
          <w:between w:val="nil"/>
        </w:pBdr>
        <w:spacing w:before="180" w:after="18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D7ED6">
        <w:rPr>
          <w:rFonts w:ascii="Times New Roman" w:eastAsia="Times New Roman" w:hAnsi="Times New Roman" w:cs="Times New Roman"/>
          <w:color w:val="000000"/>
        </w:rPr>
        <w:t xml:space="preserve">ifade eder. </w:t>
      </w:r>
    </w:p>
    <w:p w:rsidR="00594AAE" w:rsidRDefault="00594AAE">
      <w:pPr>
        <w:pBdr>
          <w:top w:val="nil"/>
          <w:left w:val="nil"/>
          <w:bottom w:val="nil"/>
          <w:right w:val="nil"/>
          <w:between w:val="nil"/>
        </w:pBdr>
        <w:spacing w:before="180" w:after="180"/>
        <w:rPr>
          <w:rFonts w:ascii="Times New Roman" w:eastAsia="Times New Roman" w:hAnsi="Times New Roman" w:cs="Times New Roman"/>
          <w:color w:val="000000"/>
        </w:rPr>
      </w:pPr>
    </w:p>
    <w:p w:rsidR="00594AAE" w:rsidRDefault="004D7ED6">
      <w:p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İKİNCİ BÖLÜM</w:t>
      </w:r>
    </w:p>
    <w:p w:rsidR="00594AAE" w:rsidRDefault="004D7ED6">
      <w:p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Görevler ve Sorumluluklar</w:t>
      </w:r>
    </w:p>
    <w:p w:rsidR="00594AAE" w:rsidRDefault="00594AAE">
      <w:pPr>
        <w:pBdr>
          <w:top w:val="nil"/>
          <w:left w:val="nil"/>
          <w:bottom w:val="nil"/>
          <w:right w:val="nil"/>
          <w:between w:val="nil"/>
        </w:pBdr>
        <w:spacing w:after="0"/>
        <w:jc w:val="center"/>
        <w:rPr>
          <w:rFonts w:ascii="Times New Roman" w:eastAsia="Times New Roman" w:hAnsi="Times New Roman" w:cs="Times New Roman"/>
          <w:b/>
          <w:color w:val="000000"/>
        </w:rPr>
      </w:pPr>
    </w:p>
    <w:p w:rsidR="00594AAE" w:rsidRDefault="008E5136" w:rsidP="000A47FF">
      <w:pPr>
        <w:pBdr>
          <w:top w:val="nil"/>
          <w:left w:val="nil"/>
          <w:bottom w:val="nil"/>
          <w:right w:val="nil"/>
          <w:between w:val="nil"/>
        </w:pBdr>
        <w:spacing w:before="36" w:after="36"/>
        <w:rPr>
          <w:rFonts w:ascii="Times New Roman" w:eastAsia="Times New Roman" w:hAnsi="Times New Roman" w:cs="Times New Roman"/>
          <w:b/>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 xml:space="preserve">Görev ve sorumluluk </w:t>
      </w:r>
    </w:p>
    <w:p w:rsidR="00594AAE" w:rsidRDefault="008E5136" w:rsidP="000A47FF">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MADDE 5- (1)</w:t>
      </w:r>
      <w:r w:rsidR="004D7ED6">
        <w:rPr>
          <w:rFonts w:ascii="Times New Roman" w:eastAsia="Times New Roman" w:hAnsi="Times New Roman" w:cs="Times New Roman"/>
          <w:color w:val="000000"/>
        </w:rPr>
        <w:t xml:space="preserve"> Bu Yönergenin uygulanmasından;</w:t>
      </w:r>
    </w:p>
    <w:p w:rsidR="00594AAE" w:rsidRDefault="00594AAE">
      <w:pPr>
        <w:pBdr>
          <w:top w:val="nil"/>
          <w:left w:val="nil"/>
          <w:bottom w:val="nil"/>
          <w:right w:val="nil"/>
          <w:between w:val="nil"/>
        </w:pBdr>
        <w:spacing w:after="0"/>
        <w:jc w:val="both"/>
        <w:rPr>
          <w:rFonts w:ascii="Times New Roman" w:eastAsia="Times New Roman" w:hAnsi="Times New Roman" w:cs="Times New Roman"/>
          <w:color w:val="000000"/>
        </w:rPr>
      </w:pPr>
    </w:p>
    <w:p w:rsidR="00594AAE" w:rsidRDefault="004D7ED6">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Rektörlük, Bilimsel ve Teknoloji Uygulama ve Araştırma Merkezi, Yapı İşleri ve Teknik Daire Başkanlığı ve Koruma ve Güvenlik Amirliği sorumludur. Bu birimler idari ve akademik işbirliği çerçevesinde asli görevlerini aksatmayacak şekilde kendilerinden talep edilen her türlü desteği yerine getirirler.</w:t>
      </w:r>
    </w:p>
    <w:p w:rsidR="00594AAE" w:rsidRDefault="00594AAE">
      <w:pPr>
        <w:pBdr>
          <w:top w:val="nil"/>
          <w:left w:val="nil"/>
          <w:bottom w:val="nil"/>
          <w:right w:val="nil"/>
          <w:between w:val="nil"/>
        </w:pBdr>
        <w:spacing w:after="0"/>
        <w:jc w:val="both"/>
        <w:rPr>
          <w:rFonts w:ascii="Times New Roman" w:eastAsia="Times New Roman" w:hAnsi="Times New Roman" w:cs="Times New Roman"/>
          <w:color w:val="000000"/>
        </w:rPr>
      </w:pPr>
    </w:p>
    <w:p w:rsidR="00345F8A" w:rsidRDefault="00345F8A">
      <w:pPr>
        <w:pBdr>
          <w:top w:val="nil"/>
          <w:left w:val="nil"/>
          <w:bottom w:val="nil"/>
          <w:right w:val="nil"/>
          <w:between w:val="nil"/>
        </w:pBdr>
        <w:spacing w:after="0"/>
        <w:jc w:val="both"/>
        <w:rPr>
          <w:rFonts w:ascii="Times New Roman" w:eastAsia="Times New Roman" w:hAnsi="Times New Roman" w:cs="Times New Roman"/>
          <w:color w:val="000000"/>
        </w:rPr>
      </w:pPr>
    </w:p>
    <w:p w:rsidR="00345F8A" w:rsidRDefault="00345F8A">
      <w:pPr>
        <w:pBdr>
          <w:top w:val="nil"/>
          <w:left w:val="nil"/>
          <w:bottom w:val="nil"/>
          <w:right w:val="nil"/>
          <w:between w:val="nil"/>
        </w:pBdr>
        <w:spacing w:after="0"/>
        <w:jc w:val="both"/>
        <w:rPr>
          <w:rFonts w:ascii="Times New Roman" w:eastAsia="Times New Roman" w:hAnsi="Times New Roman" w:cs="Times New Roman"/>
          <w:color w:val="000000"/>
        </w:rPr>
      </w:pPr>
    </w:p>
    <w:p w:rsidR="00345F8A" w:rsidRDefault="00345F8A">
      <w:pPr>
        <w:pBdr>
          <w:top w:val="nil"/>
          <w:left w:val="nil"/>
          <w:bottom w:val="nil"/>
          <w:right w:val="nil"/>
          <w:between w:val="nil"/>
        </w:pBdr>
        <w:spacing w:after="0"/>
        <w:jc w:val="both"/>
        <w:rPr>
          <w:rFonts w:ascii="Times New Roman" w:eastAsia="Times New Roman" w:hAnsi="Times New Roman" w:cs="Times New Roman"/>
          <w:color w:val="000000"/>
        </w:rPr>
      </w:pPr>
    </w:p>
    <w:p w:rsidR="00594AAE" w:rsidRDefault="008E5136">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5A57EF">
        <w:rPr>
          <w:rFonts w:ascii="Times New Roman" w:eastAsia="Times New Roman" w:hAnsi="Times New Roman" w:cs="Times New Roman"/>
          <w:b/>
          <w:color w:val="000000"/>
        </w:rPr>
        <w:t>(</w:t>
      </w:r>
      <w:r w:rsidR="004D7ED6">
        <w:rPr>
          <w:rFonts w:ascii="Times New Roman" w:eastAsia="Times New Roman" w:hAnsi="Times New Roman" w:cs="Times New Roman"/>
          <w:b/>
          <w:color w:val="000000"/>
        </w:rPr>
        <w:t>2) Genel Sekreterliğin görev ve sorumlulukları;</w:t>
      </w:r>
    </w:p>
    <w:p w:rsidR="00594AAE" w:rsidRDefault="008E5136">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a)</w:t>
      </w:r>
      <w:r w:rsidR="004D7ED6">
        <w:rPr>
          <w:rFonts w:ascii="Times New Roman" w:eastAsia="Times New Roman" w:hAnsi="Times New Roman" w:cs="Times New Roman"/>
          <w:color w:val="000000"/>
        </w:rPr>
        <w:t xml:space="preserve"> KBRN Tehlike Durum Yönetimi adı altında Genel Sekreter, Bilimsel ve Teknoloji Uygulama ve Araştırma Merkezi Müdürü, Sivil Savunma Uzmanı, Yapı İşleri Daire Başkanı ve Koruma ve Güvenlik Amirliği'nin bulunduğu bir ekip oluşturulmasını sağlar.</w:t>
      </w:r>
    </w:p>
    <w:p w:rsidR="00594AAE" w:rsidRDefault="00594AAE">
      <w:pPr>
        <w:pBdr>
          <w:top w:val="nil"/>
          <w:left w:val="nil"/>
          <w:bottom w:val="nil"/>
          <w:right w:val="nil"/>
          <w:between w:val="nil"/>
        </w:pBdr>
        <w:spacing w:before="36" w:after="36"/>
        <w:jc w:val="both"/>
        <w:rPr>
          <w:rFonts w:ascii="Times New Roman" w:eastAsia="Times New Roman" w:hAnsi="Times New Roman" w:cs="Times New Roman"/>
          <w:color w:val="000000"/>
        </w:rPr>
      </w:pP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b)</w:t>
      </w:r>
      <w:r w:rsidR="004D7ED6">
        <w:rPr>
          <w:rFonts w:ascii="Times New Roman" w:eastAsia="Times New Roman" w:hAnsi="Times New Roman" w:cs="Times New Roman"/>
        </w:rPr>
        <w:t xml:space="preserve"> Üniversitemiz bünyesinde her türlü Radyoaktif malzemenin bulundurulduğu durumlarda KBRN Tehlike Durum Yönetimine bildirilmesi için gerekli koordinasyonu sağlar.</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c)</w:t>
      </w:r>
      <w:r w:rsidR="004D7ED6">
        <w:rPr>
          <w:rFonts w:ascii="Times New Roman" w:eastAsia="Times New Roman" w:hAnsi="Times New Roman" w:cs="Times New Roman"/>
        </w:rPr>
        <w:t xml:space="preserve"> Üniversite bünyesindeki birimlerde bilimsel araştırmalar sonucu ortaya çıkan kimyasal, biyolojik, radyolojik ve nükleer atıkların, İl Çevre ve Şehircilik Müdürlüğü tarafından toplanarak uzaklaştırılması için gerekli koordinasyonu sağlar.</w:t>
      </w:r>
    </w:p>
    <w:p w:rsidR="00594AAE" w:rsidRDefault="008E5136">
      <w:pPr>
        <w:pBdr>
          <w:top w:val="nil"/>
          <w:left w:val="nil"/>
          <w:bottom w:val="nil"/>
          <w:right w:val="nil"/>
          <w:between w:val="nil"/>
        </w:pBdr>
        <w:spacing w:before="180" w:after="18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ç)</w:t>
      </w:r>
      <w:r w:rsidR="004D7ED6">
        <w:rPr>
          <w:rFonts w:ascii="Times New Roman" w:eastAsia="Times New Roman" w:hAnsi="Times New Roman" w:cs="Times New Roman"/>
          <w:color w:val="000000"/>
        </w:rPr>
        <w:t xml:space="preserve"> Tehdit veya tehlikenin üniversite genelini etkilemesi durumunda, ilgili afet ve acil durum yönetimi merkezleri ile kamu ve özel kurum ve kuruluşlar, valilik, askeri birimler, sivil toplum kuruluşları arasındaki koordinasyonu sağlar.</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d)</w:t>
      </w:r>
      <w:r w:rsidR="004D7ED6">
        <w:rPr>
          <w:rFonts w:ascii="Times New Roman" w:eastAsia="Times New Roman" w:hAnsi="Times New Roman" w:cs="Times New Roman"/>
        </w:rPr>
        <w:t xml:space="preserve"> 18/8/2010 tarihli ve 27676 sayılı Resmi Gazete’de yayımlanan Büyük Endüstriyel Kazaların Kontrolü Hakkında Yönetmelik gereği, tehlikeli madde risklerine KBRN Tehlike Durum Yönetimi tarafından “Acil Durum </w:t>
      </w:r>
      <w:proofErr w:type="gramStart"/>
      <w:r w:rsidR="004D7ED6">
        <w:rPr>
          <w:rFonts w:ascii="Times New Roman" w:eastAsia="Times New Roman" w:hAnsi="Times New Roman" w:cs="Times New Roman"/>
        </w:rPr>
        <w:t>Planları”nın</w:t>
      </w:r>
      <w:proofErr w:type="gramEnd"/>
      <w:r w:rsidR="004D7ED6">
        <w:rPr>
          <w:rFonts w:ascii="Times New Roman" w:eastAsia="Times New Roman" w:hAnsi="Times New Roman" w:cs="Times New Roman"/>
        </w:rPr>
        <w:t xml:space="preserve"> hazırlanmasını sağlar.</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e)</w:t>
      </w:r>
      <w:r w:rsidR="004D7ED6">
        <w:rPr>
          <w:rFonts w:ascii="Times New Roman" w:eastAsia="Times New Roman" w:hAnsi="Times New Roman" w:cs="Times New Roman"/>
        </w:rPr>
        <w:t xml:space="preserve"> KBRN tehdit ve tehlikelerine karşı bu yönerge gereği kurulacak ekipler, alınacak önlemler ve yapılacak diğer faaliyetler için ihtiyaç duyulacak ödeneğin tahsisine yönelik gerekli tedbirleri alır.</w:t>
      </w:r>
    </w:p>
    <w:p w:rsidR="00594AAE" w:rsidRDefault="008E5136">
      <w:pPr>
        <w:pBdr>
          <w:top w:val="nil"/>
          <w:left w:val="nil"/>
          <w:bottom w:val="nil"/>
          <w:right w:val="nil"/>
          <w:between w:val="nil"/>
        </w:pBdr>
        <w:spacing w:before="180" w:after="18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f)</w:t>
      </w:r>
      <w:r w:rsidR="004D7ED6">
        <w:rPr>
          <w:rFonts w:ascii="Times New Roman" w:eastAsia="Times New Roman" w:hAnsi="Times New Roman" w:cs="Times New Roman"/>
          <w:color w:val="000000"/>
        </w:rPr>
        <w:t xml:space="preserve"> Birimlerdeki kimyasal maddelerin kontrol altında tutulması için birim yönetimlerini koordine eder.</w:t>
      </w:r>
    </w:p>
    <w:p w:rsidR="00594AAE" w:rsidRDefault="008E5136">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g)</w:t>
      </w:r>
      <w:r w:rsidR="004D7ED6">
        <w:rPr>
          <w:rFonts w:ascii="Times New Roman" w:eastAsia="Times New Roman" w:hAnsi="Times New Roman" w:cs="Times New Roman"/>
          <w:color w:val="000000"/>
        </w:rPr>
        <w:t xml:space="preserve"> Eğitim müfredatlarında KBRN tehdit ve tehlikelerine ve korunma konularına yer verilmesini sağlar.</w:t>
      </w:r>
    </w:p>
    <w:p w:rsidR="00594AAE" w:rsidRDefault="008E5136">
      <w:pPr>
        <w:pBdr>
          <w:top w:val="nil"/>
          <w:left w:val="nil"/>
          <w:bottom w:val="nil"/>
          <w:right w:val="nil"/>
          <w:between w:val="nil"/>
        </w:pBdr>
        <w:spacing w:before="180" w:after="18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ğ)</w:t>
      </w:r>
      <w:r w:rsidR="004D7ED6">
        <w:rPr>
          <w:rFonts w:ascii="Times New Roman" w:eastAsia="Times New Roman" w:hAnsi="Times New Roman" w:cs="Times New Roman"/>
          <w:color w:val="000000"/>
        </w:rPr>
        <w:t xml:space="preserve"> KBRN Tehlike Durum Yönetimi bilgisi dahilinde, her birim bünyesinde bulunan acil durum ekipleri ve özel güvenlik biriminin KBRN tehdit ve tehlikelerine karşı eğitilmesini ve tehdit durumundaki çalışmalarının koordinasyonunu sağlar ve yönetir.</w:t>
      </w:r>
    </w:p>
    <w:p w:rsidR="00594AAE" w:rsidRDefault="008E5136">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h)</w:t>
      </w:r>
      <w:r w:rsidR="004D7ED6">
        <w:rPr>
          <w:rFonts w:ascii="Times New Roman" w:eastAsia="Times New Roman" w:hAnsi="Times New Roman" w:cs="Times New Roman"/>
          <w:color w:val="000000"/>
        </w:rPr>
        <w:t xml:space="preserve"> Sağlık Bakanlığı ile koordineli olarak, olaylardan etkilenen veya yaralanan şahısların üniversite hastanesinde bakım ve tedavileri için gerekli iletişimi sağlar.</w:t>
      </w:r>
    </w:p>
    <w:p w:rsidR="00594AAE" w:rsidRDefault="00594AAE">
      <w:pPr>
        <w:pBdr>
          <w:top w:val="nil"/>
          <w:left w:val="nil"/>
          <w:bottom w:val="nil"/>
          <w:right w:val="nil"/>
          <w:between w:val="nil"/>
        </w:pBdr>
        <w:spacing w:before="36" w:after="36"/>
        <w:jc w:val="both"/>
        <w:rPr>
          <w:rFonts w:ascii="Times New Roman" w:eastAsia="Times New Roman" w:hAnsi="Times New Roman" w:cs="Times New Roman"/>
          <w:color w:val="000000"/>
        </w:rPr>
      </w:pPr>
    </w:p>
    <w:p w:rsidR="00594AAE" w:rsidRDefault="008E5136">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ı)</w:t>
      </w:r>
      <w:r w:rsidR="004D7ED6">
        <w:rPr>
          <w:rFonts w:ascii="Times New Roman" w:eastAsia="Times New Roman" w:hAnsi="Times New Roman" w:cs="Times New Roman"/>
          <w:color w:val="000000"/>
        </w:rPr>
        <w:t xml:space="preserve"> Tehlikenin meydana gelmesine neden olan kimyasal ve biyolojik madde ve kaynaklar ile atık ve işlevi biten numunelerin, İl Çevre ve Şehircilik Müdürlüğü ekiplerince imha edilmesi veya ettirilmesini sağlar.</w:t>
      </w:r>
    </w:p>
    <w:p w:rsidR="00594AAE" w:rsidRDefault="00594AAE">
      <w:pPr>
        <w:pBdr>
          <w:top w:val="nil"/>
          <w:left w:val="nil"/>
          <w:bottom w:val="nil"/>
          <w:right w:val="nil"/>
          <w:between w:val="nil"/>
        </w:pBdr>
        <w:spacing w:before="36" w:after="36"/>
        <w:jc w:val="both"/>
        <w:rPr>
          <w:rFonts w:ascii="Times New Roman" w:eastAsia="Times New Roman" w:hAnsi="Times New Roman" w:cs="Times New Roman"/>
          <w:color w:val="000000"/>
        </w:rPr>
      </w:pPr>
    </w:p>
    <w:p w:rsidR="00594AAE" w:rsidRDefault="008E5136">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i)</w:t>
      </w:r>
      <w:r w:rsidR="004D7ED6">
        <w:rPr>
          <w:rFonts w:ascii="Times New Roman" w:eastAsia="Times New Roman" w:hAnsi="Times New Roman" w:cs="Times New Roman"/>
          <w:color w:val="000000"/>
        </w:rPr>
        <w:t xml:space="preserve"> Tehlikenin meydana gelmesine neden olan nükleer ve radyolojik madde ve kaynaklar ile sahipsiz atıkların, Türkiye Atom Enerjisi Kurumu Başkanlığı ekipleri tarafından kontrol altına alınmasını sağlar.</w:t>
      </w:r>
    </w:p>
    <w:p w:rsidR="00594AAE" w:rsidRDefault="008E5136">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j)</w:t>
      </w:r>
      <w:r w:rsidR="004D7ED6">
        <w:rPr>
          <w:rFonts w:ascii="Times New Roman" w:eastAsia="Times New Roman" w:hAnsi="Times New Roman" w:cs="Times New Roman"/>
          <w:color w:val="000000"/>
        </w:rPr>
        <w:t xml:space="preserve"> Tahliye veya boşaltma nedeniyle ortaya çıkacak geçici barınma, yeme ve içme ihtiyaçlarının karşılanmasını sağlar.</w:t>
      </w:r>
    </w:p>
    <w:p w:rsidR="00594AAE" w:rsidRDefault="00594AAE">
      <w:pPr>
        <w:pBdr>
          <w:top w:val="nil"/>
          <w:left w:val="nil"/>
          <w:bottom w:val="nil"/>
          <w:right w:val="nil"/>
          <w:between w:val="nil"/>
        </w:pBdr>
        <w:spacing w:before="36" w:after="36"/>
        <w:jc w:val="both"/>
        <w:rPr>
          <w:rFonts w:ascii="Times New Roman" w:eastAsia="Times New Roman" w:hAnsi="Times New Roman" w:cs="Times New Roman"/>
          <w:color w:val="000000"/>
        </w:rPr>
      </w:pPr>
    </w:p>
    <w:p w:rsidR="00594AAE" w:rsidRDefault="008E5136">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D7ED6" w:rsidRPr="00345F8A">
        <w:rPr>
          <w:rFonts w:ascii="Times New Roman" w:eastAsia="Times New Roman" w:hAnsi="Times New Roman" w:cs="Times New Roman"/>
          <w:b/>
          <w:color w:val="000000"/>
        </w:rPr>
        <w:t>(3)</w:t>
      </w:r>
      <w:r w:rsidR="004D7ED6">
        <w:rPr>
          <w:rFonts w:ascii="Times New Roman" w:eastAsia="Times New Roman" w:hAnsi="Times New Roman" w:cs="Times New Roman"/>
          <w:color w:val="000000"/>
        </w:rPr>
        <w:t xml:space="preserve"> </w:t>
      </w:r>
      <w:r w:rsidR="004D7ED6">
        <w:rPr>
          <w:rFonts w:ascii="Times New Roman" w:eastAsia="Times New Roman" w:hAnsi="Times New Roman" w:cs="Times New Roman"/>
          <w:b/>
          <w:color w:val="000000"/>
        </w:rPr>
        <w:t>Bilimsel ve Teknoloji Uygulama ve Araştırma Merkezinin görev ve sorumlulukları:</w:t>
      </w:r>
      <w:r w:rsidR="004D7ED6">
        <w:rPr>
          <w:rFonts w:ascii="Times New Roman" w:eastAsia="Times New Roman" w:hAnsi="Times New Roman" w:cs="Times New Roman"/>
          <w:color w:val="000000"/>
        </w:rPr>
        <w:t xml:space="preserve"> </w:t>
      </w:r>
    </w:p>
    <w:p w:rsidR="00594AAE" w:rsidRDefault="008E5136">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sidRPr="008E5136">
        <w:rPr>
          <w:rFonts w:ascii="Times New Roman" w:eastAsia="Times New Roman" w:hAnsi="Times New Roman" w:cs="Times New Roman"/>
          <w:b/>
          <w:color w:val="000000"/>
        </w:rPr>
        <w:t>a)</w:t>
      </w:r>
      <w:r w:rsidR="004D7ED6">
        <w:rPr>
          <w:rFonts w:ascii="Times New Roman" w:eastAsia="Times New Roman" w:hAnsi="Times New Roman" w:cs="Times New Roman"/>
          <w:color w:val="000000"/>
        </w:rPr>
        <w:t xml:space="preserve"> KBRN tehlikelerine karşı alınacak önlemler ve yapılacak çalışmaları rektörlüğümüz bünyesinde hazır bulunan acil durum ekipleri ile ilgili birimlerle ve kuruluşlarla koordineli olarak belirler.</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sidRPr="008E5136">
        <w:rPr>
          <w:rFonts w:ascii="Times New Roman" w:eastAsia="Times New Roman" w:hAnsi="Times New Roman" w:cs="Times New Roman"/>
          <w:b/>
        </w:rPr>
        <w:t>b)</w:t>
      </w:r>
      <w:r w:rsidR="004D7ED6">
        <w:rPr>
          <w:rFonts w:ascii="Times New Roman" w:eastAsia="Times New Roman" w:hAnsi="Times New Roman" w:cs="Times New Roman"/>
        </w:rPr>
        <w:t xml:space="preserve"> KBRN ekipman ve diğer malzemelerinin teknik özelliklerini, ilgili kuruluşların görüşleri doğrultusunda belirler; teknolojik gelişmeleri takip eder ve talepte bulunan birimlere bilgi desteği sağlar.</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sidRPr="008E5136">
        <w:rPr>
          <w:rFonts w:ascii="Times New Roman" w:eastAsia="Times New Roman" w:hAnsi="Times New Roman" w:cs="Times New Roman"/>
          <w:b/>
        </w:rPr>
        <w:t>c)</w:t>
      </w:r>
      <w:r w:rsidR="004D7ED6">
        <w:rPr>
          <w:rFonts w:ascii="Times New Roman" w:eastAsia="Times New Roman" w:hAnsi="Times New Roman" w:cs="Times New Roman"/>
        </w:rPr>
        <w:t xml:space="preserve"> KBRN konularıyla ilgili genel ve özel kurs ve seminerler düzenler, eğitim verilmesini sağlar.</w:t>
      </w:r>
    </w:p>
    <w:p w:rsidR="00594AAE" w:rsidRDefault="008E5136">
      <w:pPr>
        <w:pBdr>
          <w:top w:val="nil"/>
          <w:left w:val="nil"/>
          <w:bottom w:val="nil"/>
          <w:right w:val="nil"/>
          <w:between w:val="nil"/>
        </w:pBdr>
        <w:spacing w:before="180" w:after="18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sidRPr="008E5136">
        <w:rPr>
          <w:rFonts w:ascii="Times New Roman" w:eastAsia="Times New Roman" w:hAnsi="Times New Roman" w:cs="Times New Roman"/>
          <w:b/>
          <w:color w:val="000000"/>
        </w:rPr>
        <w:t>ç)</w:t>
      </w:r>
      <w:r w:rsidR="004D7ED6">
        <w:rPr>
          <w:rFonts w:ascii="Times New Roman" w:eastAsia="Times New Roman" w:hAnsi="Times New Roman" w:cs="Times New Roman"/>
          <w:color w:val="000000"/>
        </w:rPr>
        <w:t xml:space="preserve"> Talep edilmesi halinde tehlikeli endüstriyel kimyasallar ve atıklar konusunda uzman desteği sağlar.</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sidRPr="008E5136">
        <w:rPr>
          <w:rFonts w:ascii="Times New Roman" w:eastAsia="Times New Roman" w:hAnsi="Times New Roman" w:cs="Times New Roman"/>
          <w:b/>
        </w:rPr>
        <w:t>d)</w:t>
      </w:r>
      <w:r w:rsidR="004D7ED6">
        <w:rPr>
          <w:rFonts w:ascii="Times New Roman" w:eastAsia="Times New Roman" w:hAnsi="Times New Roman" w:cs="Times New Roman"/>
        </w:rPr>
        <w:t xml:space="preserve"> Kimyasal ve biyolojik tehdit ve tehlike durumlarında, ilgili merkez bünyesinde eğitimli ve donanımlı personelden oluşmuş numune alma ekiplerinin kurulmasını sağlar.</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sidRPr="008E5136">
        <w:rPr>
          <w:rFonts w:ascii="Times New Roman" w:eastAsia="Times New Roman" w:hAnsi="Times New Roman" w:cs="Times New Roman"/>
          <w:b/>
        </w:rPr>
        <w:t>e)</w:t>
      </w:r>
      <w:r w:rsidR="004D7ED6">
        <w:rPr>
          <w:rFonts w:ascii="Times New Roman" w:eastAsia="Times New Roman" w:hAnsi="Times New Roman" w:cs="Times New Roman"/>
        </w:rPr>
        <w:t xml:space="preserve"> Kirlenmeye neden olan kaynakların, atıkların ve işlevi biten numunelerin kontrolü ve imhası ile iyileştirme ve kalıcı etkilerin araştırılması ve yaşamın normale dönmesi çalışmalarında destek sağlar.</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sidRPr="008E5136">
        <w:rPr>
          <w:rFonts w:ascii="Times New Roman" w:eastAsia="Times New Roman" w:hAnsi="Times New Roman" w:cs="Times New Roman"/>
          <w:b/>
        </w:rPr>
        <w:t>f)</w:t>
      </w:r>
      <w:r w:rsidR="004D7ED6">
        <w:rPr>
          <w:rFonts w:ascii="Times New Roman" w:eastAsia="Times New Roman" w:hAnsi="Times New Roman" w:cs="Times New Roman"/>
        </w:rPr>
        <w:t xml:space="preserve"> Çevredeki kalıcı etkileri araştırarak kurumsal mevzuatı çerçevesinde gerekli çalışmaları yapar.</w:t>
      </w:r>
    </w:p>
    <w:p w:rsidR="00594AAE" w:rsidRDefault="008E5136">
      <w:pPr>
        <w:jc w:val="both"/>
        <w:rPr>
          <w:rFonts w:ascii="Times New Roman" w:eastAsia="Times New Roman" w:hAnsi="Times New Roman" w:cs="Times New Roman"/>
        </w:rPr>
      </w:pPr>
      <w:r>
        <w:rPr>
          <w:rFonts w:ascii="Times New Roman" w:eastAsia="Times New Roman" w:hAnsi="Times New Roman" w:cs="Times New Roman"/>
          <w:b/>
        </w:rPr>
        <w:tab/>
      </w:r>
      <w:r w:rsidR="004D7ED6" w:rsidRPr="008E5136">
        <w:rPr>
          <w:rFonts w:ascii="Times New Roman" w:eastAsia="Times New Roman" w:hAnsi="Times New Roman" w:cs="Times New Roman"/>
          <w:b/>
        </w:rPr>
        <w:t>g)</w:t>
      </w:r>
      <w:r w:rsidR="004D7ED6">
        <w:rPr>
          <w:rFonts w:ascii="Times New Roman" w:eastAsia="Times New Roman" w:hAnsi="Times New Roman" w:cs="Times New Roman"/>
        </w:rPr>
        <w:t xml:space="preserve"> KBRN tehdidi durumunda gıda ve diğer ürünlerin tüketimi ve dağıtımıyla ilgili sınırlandırmayı gerektirecek limitler konusunda ilk müdahale ekiplerine bilgi desteği sağlar.</w:t>
      </w:r>
    </w:p>
    <w:p w:rsidR="00594AAE" w:rsidRDefault="008E5136">
      <w:pPr>
        <w:pBdr>
          <w:top w:val="nil"/>
          <w:left w:val="nil"/>
          <w:bottom w:val="nil"/>
          <w:right w:val="nil"/>
          <w:between w:val="nil"/>
        </w:pBdr>
        <w:spacing w:before="180" w:after="18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sidRPr="008E5136">
        <w:rPr>
          <w:rFonts w:ascii="Times New Roman" w:eastAsia="Times New Roman" w:hAnsi="Times New Roman" w:cs="Times New Roman"/>
          <w:b/>
          <w:color w:val="000000"/>
        </w:rPr>
        <w:t>ğ)</w:t>
      </w:r>
      <w:r w:rsidR="004D7ED6">
        <w:rPr>
          <w:rFonts w:ascii="Times New Roman" w:eastAsia="Times New Roman" w:hAnsi="Times New Roman" w:cs="Times New Roman"/>
          <w:color w:val="000000"/>
        </w:rPr>
        <w:t xml:space="preserve"> KBRN tehdit ve tehlikeleri durumunda, ilgili makamlarca talep edilecek analizleri ücretsiz yapar.</w:t>
      </w:r>
    </w:p>
    <w:p w:rsidR="00594AAE" w:rsidRDefault="008E5136">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sidRPr="008E5136">
        <w:rPr>
          <w:rFonts w:ascii="Times New Roman" w:eastAsia="Times New Roman" w:hAnsi="Times New Roman" w:cs="Times New Roman"/>
          <w:b/>
          <w:color w:val="000000"/>
        </w:rPr>
        <w:t>h)</w:t>
      </w:r>
      <w:r w:rsidR="004D7ED6">
        <w:rPr>
          <w:rFonts w:ascii="Times New Roman" w:eastAsia="Times New Roman" w:hAnsi="Times New Roman" w:cs="Times New Roman"/>
          <w:color w:val="000000"/>
        </w:rPr>
        <w:t xml:space="preserve"> Tehdit veya tehlike durumunda, ölçüm ekip ve cihazlarını bölgeye sevk eder.</w:t>
      </w:r>
    </w:p>
    <w:p w:rsidR="00594AAE" w:rsidRDefault="008E5136">
      <w:pPr>
        <w:pBdr>
          <w:top w:val="nil"/>
          <w:left w:val="nil"/>
          <w:bottom w:val="nil"/>
          <w:right w:val="nil"/>
          <w:between w:val="nil"/>
        </w:pBdr>
        <w:spacing w:before="180" w:after="18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Pr="008E5136">
        <w:rPr>
          <w:rFonts w:ascii="Times New Roman" w:eastAsia="Times New Roman" w:hAnsi="Times New Roman" w:cs="Times New Roman"/>
          <w:b/>
          <w:color w:val="000000"/>
        </w:rPr>
        <w:t>ı</w:t>
      </w:r>
      <w:r w:rsidR="004D7ED6" w:rsidRPr="008E5136">
        <w:rPr>
          <w:rFonts w:ascii="Times New Roman" w:eastAsia="Times New Roman" w:hAnsi="Times New Roman" w:cs="Times New Roman"/>
          <w:b/>
          <w:color w:val="000000"/>
        </w:rPr>
        <w:t>)</w:t>
      </w:r>
      <w:r w:rsidR="004D7ED6">
        <w:rPr>
          <w:rFonts w:ascii="Times New Roman" w:eastAsia="Times New Roman" w:hAnsi="Times New Roman" w:cs="Times New Roman"/>
          <w:color w:val="000000"/>
        </w:rPr>
        <w:t xml:space="preserve"> KBRN risk analizlerinin çıkarılması hususunda ilgili makamlardan talep edilen bilgilerin verilmesini sağlar.</w:t>
      </w:r>
    </w:p>
    <w:p w:rsidR="00594AAE" w:rsidRDefault="008E5136" w:rsidP="008E5136">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(4) Sivil Savunma Uzmanlığının görev ve sorumlulukları</w:t>
      </w:r>
      <w:r w:rsidR="004D7ED6">
        <w:rPr>
          <w:rFonts w:ascii="Times New Roman" w:eastAsia="Times New Roman" w:hAnsi="Times New Roman" w:cs="Times New Roman"/>
          <w:color w:val="000000"/>
        </w:rPr>
        <w:t>;</w:t>
      </w:r>
    </w:p>
    <w:p w:rsidR="00594AAE" w:rsidRDefault="006B5EEC" w:rsidP="008E5136">
      <w:pPr>
        <w:spacing w:before="120" w:after="120"/>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a)</w:t>
      </w:r>
      <w:r w:rsidR="004D7ED6">
        <w:rPr>
          <w:rFonts w:ascii="Times New Roman" w:eastAsia="Times New Roman" w:hAnsi="Times New Roman" w:cs="Times New Roman"/>
        </w:rPr>
        <w:t xml:space="preserve"> Tehlike haberlerinin üniversite personeli ve öğrencilerine duyurulması için gerekli olan Haber Alma ve Yayma, İkaz ve Alarm Sistemi ile KBRN İkaz ve Rapor Verme sistemlerini kurar ve faal halde bulundurur.</w:t>
      </w:r>
    </w:p>
    <w:p w:rsidR="00594AAE" w:rsidRDefault="006B5EEC">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b)</w:t>
      </w:r>
      <w:r w:rsidR="004D7ED6">
        <w:rPr>
          <w:rFonts w:ascii="Times New Roman" w:eastAsia="Times New Roman" w:hAnsi="Times New Roman" w:cs="Times New Roman"/>
        </w:rPr>
        <w:t xml:space="preserve"> Üniversite bünyesindeki bütün birimlerin binalarının KBRN tehditlerine karşı sığınak, barınak vb., gerekli düzenlemelerinin yapılmasını sağlar.</w:t>
      </w:r>
    </w:p>
    <w:p w:rsidR="00594AAE" w:rsidRDefault="006B5EEC">
      <w:pPr>
        <w:pBdr>
          <w:top w:val="nil"/>
          <w:left w:val="nil"/>
          <w:bottom w:val="nil"/>
          <w:right w:val="nil"/>
          <w:between w:val="nil"/>
        </w:pBdr>
        <w:spacing w:before="180" w:after="18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c)</w:t>
      </w:r>
      <w:r w:rsidR="004D7ED6">
        <w:rPr>
          <w:rFonts w:ascii="Times New Roman" w:eastAsia="Times New Roman" w:hAnsi="Times New Roman" w:cs="Times New Roman"/>
          <w:color w:val="000000"/>
        </w:rPr>
        <w:t xml:space="preserve"> KBRN ile ilgili afişler ve bilgilendirme ilanları hazırlamak,</w:t>
      </w:r>
    </w:p>
    <w:p w:rsidR="00594AAE" w:rsidRDefault="006B5EEC">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d)</w:t>
      </w:r>
      <w:r w:rsidR="004D7ED6">
        <w:rPr>
          <w:rFonts w:ascii="Times New Roman" w:eastAsia="Times New Roman" w:hAnsi="Times New Roman" w:cs="Times New Roman"/>
          <w:color w:val="000000"/>
        </w:rPr>
        <w:t xml:space="preserve"> Bahse konu tehdit ile ilgili yazışmalar Sivil Savunma Uzmanlığı koordinasyonu ile yapılır.</w:t>
      </w:r>
    </w:p>
    <w:p w:rsidR="00594AAE" w:rsidRDefault="00594AAE">
      <w:pPr>
        <w:pBdr>
          <w:top w:val="nil"/>
          <w:left w:val="nil"/>
          <w:bottom w:val="nil"/>
          <w:right w:val="nil"/>
          <w:between w:val="nil"/>
        </w:pBdr>
        <w:spacing w:before="36" w:after="36"/>
        <w:jc w:val="both"/>
        <w:rPr>
          <w:rFonts w:ascii="Times New Roman" w:eastAsia="Times New Roman" w:hAnsi="Times New Roman" w:cs="Times New Roman"/>
          <w:color w:val="000000"/>
        </w:rPr>
      </w:pPr>
    </w:p>
    <w:p w:rsidR="00345F8A" w:rsidRDefault="00345F8A">
      <w:pPr>
        <w:pBdr>
          <w:top w:val="nil"/>
          <w:left w:val="nil"/>
          <w:bottom w:val="nil"/>
          <w:right w:val="nil"/>
          <w:between w:val="nil"/>
        </w:pBdr>
        <w:spacing w:before="36" w:after="36"/>
        <w:jc w:val="both"/>
        <w:rPr>
          <w:rFonts w:ascii="Times New Roman" w:eastAsia="Times New Roman" w:hAnsi="Times New Roman" w:cs="Times New Roman"/>
          <w:color w:val="000000"/>
        </w:rPr>
      </w:pPr>
    </w:p>
    <w:p w:rsidR="00594AAE" w:rsidRDefault="006B5EEC" w:rsidP="000A47FF">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(5)</w:t>
      </w:r>
      <w:r w:rsidR="004D7ED6">
        <w:rPr>
          <w:rFonts w:ascii="Times New Roman" w:eastAsia="Times New Roman" w:hAnsi="Times New Roman" w:cs="Times New Roman"/>
          <w:color w:val="000000"/>
        </w:rPr>
        <w:t xml:space="preserve"> </w:t>
      </w:r>
      <w:r w:rsidR="004D7ED6">
        <w:rPr>
          <w:rFonts w:ascii="Times New Roman" w:eastAsia="Times New Roman" w:hAnsi="Times New Roman" w:cs="Times New Roman"/>
          <w:b/>
          <w:color w:val="000000"/>
        </w:rPr>
        <w:t>Yapı İşleri ve Teknik Daire Başkanlığının görev ve sorumlulukları;</w:t>
      </w:r>
    </w:p>
    <w:p w:rsidR="00594AAE" w:rsidRDefault="006B5EEC" w:rsidP="000A47FF">
      <w:pPr>
        <w:pBdr>
          <w:top w:val="nil"/>
          <w:left w:val="nil"/>
          <w:bottom w:val="nil"/>
          <w:right w:val="nil"/>
          <w:between w:val="nil"/>
        </w:pBdr>
        <w:spacing w:before="36" w:after="3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a)</w:t>
      </w:r>
      <w:r w:rsidR="004D7ED6">
        <w:rPr>
          <w:rFonts w:ascii="Times New Roman" w:eastAsia="Times New Roman" w:hAnsi="Times New Roman" w:cs="Times New Roman"/>
          <w:color w:val="000000"/>
        </w:rPr>
        <w:t xml:space="preserve"> KBRN riski teşkil eden laboratuarları bulunan birimlerde radyasyon doz ve şiddetini ölçen, kimyasal kirlenmeyi tespit eden sensor, erken uyarı ve alarm sistem veya cihazlarının kurulması ve bu cihazlardan alınacak tehlike haberlerinin KBRN Tehlike Durum Yönetimine iletilmesini sağlar.</w:t>
      </w:r>
    </w:p>
    <w:p w:rsidR="00594AAE" w:rsidRDefault="006B5EEC">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b)</w:t>
      </w:r>
      <w:r w:rsidR="004D7ED6">
        <w:rPr>
          <w:rFonts w:ascii="Times New Roman" w:eastAsia="Times New Roman" w:hAnsi="Times New Roman" w:cs="Times New Roman"/>
        </w:rPr>
        <w:t xml:space="preserve"> KBRN riski teşkil eden laboratuarların bulunduğu birimlerde uygun yerlere duş, göz duşu gibi teçhizatları yerleştirerek acil önlemlerin alınmasını sağlar.</w:t>
      </w:r>
    </w:p>
    <w:p w:rsidR="00594AAE" w:rsidRDefault="006B5EEC">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c)</w:t>
      </w:r>
      <w:r w:rsidR="004D7ED6">
        <w:rPr>
          <w:rFonts w:ascii="Times New Roman" w:eastAsia="Times New Roman" w:hAnsi="Times New Roman" w:cs="Times New Roman"/>
        </w:rPr>
        <w:t xml:space="preserve"> KBRN olaylarından hasar gören birimlerin yeniden çalışır hale getirilmesi ve kirliliğe neden olan atıkların bertarafı amacıyla gerekli çalışmaları yürütür.</w:t>
      </w:r>
    </w:p>
    <w:p w:rsidR="00594AAE" w:rsidRDefault="006B5EEC">
      <w:pPr>
        <w:pBdr>
          <w:top w:val="nil"/>
          <w:left w:val="nil"/>
          <w:bottom w:val="nil"/>
          <w:right w:val="nil"/>
          <w:between w:val="nil"/>
        </w:pBdr>
        <w:spacing w:before="180" w:after="18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ç)</w:t>
      </w:r>
      <w:r w:rsidR="004D7ED6">
        <w:rPr>
          <w:rFonts w:ascii="Times New Roman" w:eastAsia="Times New Roman" w:hAnsi="Times New Roman" w:cs="Times New Roman"/>
          <w:color w:val="000000"/>
        </w:rPr>
        <w:t xml:space="preserve"> Tehlike bölgesinde etkilenen ve zarar gören yerler ile bu yerler dışındaki güvenli bölgelerin tespit edilmesini, etkilenen ve zarar gören yerlerdeki kirliliğin yayılmasının önlenmesi için gerekli tedbirlerin alınmasını sağlar.</w:t>
      </w:r>
    </w:p>
    <w:p w:rsidR="00594AAE" w:rsidRDefault="006B5EEC">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d)</w:t>
      </w:r>
      <w:r w:rsidR="004D7ED6">
        <w:rPr>
          <w:rFonts w:ascii="Times New Roman" w:eastAsia="Times New Roman" w:hAnsi="Times New Roman" w:cs="Times New Roman"/>
        </w:rPr>
        <w:t xml:space="preserve"> Üniversite birimleri içerisinde ulaşıma kapalı olan veya hasar gören yol ve güzergâhların ulaşıma açılmasını sağlar.</w:t>
      </w:r>
    </w:p>
    <w:p w:rsidR="00594AAE" w:rsidRDefault="006B5EEC" w:rsidP="00443435">
      <w:pPr>
        <w:spacing w:after="0"/>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e)</w:t>
      </w:r>
      <w:r w:rsidR="004D7ED6">
        <w:rPr>
          <w:rFonts w:ascii="Times New Roman" w:eastAsia="Times New Roman" w:hAnsi="Times New Roman" w:cs="Times New Roman"/>
        </w:rPr>
        <w:t xml:space="preserve"> Üniversite birimlerinde bulunan kimyasal madde depolarının ve kimyasal maddelerin kullanılacağı alanların havalandırma ve klimatize edilmesi gibi gerekli güvenlik önlemlerinin alınmasını sağlar.</w:t>
      </w:r>
    </w:p>
    <w:p w:rsidR="00443435" w:rsidRDefault="00443435" w:rsidP="00443435">
      <w:pPr>
        <w:spacing w:after="0"/>
        <w:jc w:val="both"/>
        <w:rPr>
          <w:rFonts w:ascii="Times New Roman" w:eastAsia="Times New Roman" w:hAnsi="Times New Roman" w:cs="Times New Roman"/>
        </w:rPr>
      </w:pPr>
    </w:p>
    <w:p w:rsidR="00594AAE" w:rsidRDefault="006B5EEC" w:rsidP="000A47FF">
      <w:pPr>
        <w:pBdr>
          <w:top w:val="nil"/>
          <w:left w:val="nil"/>
          <w:bottom w:val="nil"/>
          <w:right w:val="nil"/>
          <w:between w:val="nil"/>
        </w:pBdr>
        <w:spacing w:before="36" w:after="36"/>
        <w:jc w:val="both"/>
        <w:rPr>
          <w:rFonts w:ascii="Times New Roman" w:eastAsia="Times New Roman" w:hAnsi="Times New Roman" w:cs="Times New Roman"/>
          <w:b/>
          <w:color w:val="000000"/>
        </w:rPr>
      </w:pPr>
      <w:r w:rsidRPr="006B5EEC">
        <w:rPr>
          <w:rFonts w:ascii="Times New Roman" w:eastAsia="Times New Roman" w:hAnsi="Times New Roman" w:cs="Times New Roman"/>
          <w:b/>
          <w:color w:val="000000"/>
        </w:rPr>
        <w:tab/>
      </w:r>
      <w:r w:rsidR="004D7ED6" w:rsidRPr="006B5EEC">
        <w:rPr>
          <w:rFonts w:ascii="Times New Roman" w:eastAsia="Times New Roman" w:hAnsi="Times New Roman" w:cs="Times New Roman"/>
          <w:b/>
          <w:color w:val="000000"/>
        </w:rPr>
        <w:t>(6)</w:t>
      </w:r>
      <w:r w:rsidR="004D7ED6">
        <w:rPr>
          <w:rFonts w:ascii="Times New Roman" w:eastAsia="Times New Roman" w:hAnsi="Times New Roman" w:cs="Times New Roman"/>
          <w:b/>
          <w:color w:val="000000"/>
        </w:rPr>
        <w:t xml:space="preserve"> Koruma ve Güvenlik Amirliğinin görev ve sorumlulukları;</w:t>
      </w:r>
    </w:p>
    <w:p w:rsidR="00594AAE" w:rsidRDefault="006B5EEC" w:rsidP="000A47FF">
      <w:pPr>
        <w:spacing w:before="36" w:after="36"/>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a)</w:t>
      </w:r>
      <w:r w:rsidR="004D7ED6">
        <w:rPr>
          <w:rFonts w:ascii="Times New Roman" w:eastAsia="Times New Roman" w:hAnsi="Times New Roman" w:cs="Times New Roman"/>
        </w:rPr>
        <w:t xml:space="preserve"> Rüzgâr altında tehlike sınırları içinde kalabilecek bölgelerin gerektiğinde boşaltılması veya tahliye edilmesi iş ve işlemlerini koordine eder.</w:t>
      </w:r>
    </w:p>
    <w:p w:rsidR="00594AAE" w:rsidRDefault="006B5EEC">
      <w:pPr>
        <w:jc w:val="both"/>
        <w:rPr>
          <w:rFonts w:ascii="Times New Roman" w:eastAsia="Times New Roman" w:hAnsi="Times New Roman" w:cs="Times New Roman"/>
        </w:rPr>
      </w:pPr>
      <w:r>
        <w:rPr>
          <w:rFonts w:ascii="Times New Roman" w:eastAsia="Times New Roman" w:hAnsi="Times New Roman" w:cs="Times New Roman"/>
          <w:b/>
        </w:rPr>
        <w:tab/>
      </w:r>
      <w:r w:rsidR="004D7ED6">
        <w:rPr>
          <w:rFonts w:ascii="Times New Roman" w:eastAsia="Times New Roman" w:hAnsi="Times New Roman" w:cs="Times New Roman"/>
          <w:b/>
        </w:rPr>
        <w:t>b)</w:t>
      </w:r>
      <w:r w:rsidR="004D7ED6">
        <w:rPr>
          <w:rFonts w:ascii="Times New Roman" w:eastAsia="Times New Roman" w:hAnsi="Times New Roman" w:cs="Times New Roman"/>
        </w:rPr>
        <w:t xml:space="preserve"> KBRN silah ve maddeleri veya bu nitelikteki tehlikeli atıklarla yapılabilecek, terör ve sabotaj eylemlerine ilişkin duyum, ihbar ve istihbari bilgilerin genel sekreterliğe bildirilmesini sağlar.</w:t>
      </w:r>
    </w:p>
    <w:p w:rsidR="00594AAE" w:rsidRDefault="006B5EEC">
      <w:pPr>
        <w:pBdr>
          <w:top w:val="nil"/>
          <w:left w:val="nil"/>
          <w:bottom w:val="nil"/>
          <w:right w:val="nil"/>
          <w:between w:val="nil"/>
        </w:pBdr>
        <w:spacing w:before="180" w:after="18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c)</w:t>
      </w:r>
      <w:r w:rsidR="004D7ED6">
        <w:rPr>
          <w:rFonts w:ascii="Times New Roman" w:eastAsia="Times New Roman" w:hAnsi="Times New Roman" w:cs="Times New Roman"/>
          <w:color w:val="000000"/>
        </w:rPr>
        <w:t xml:space="preserve"> Tahliye veya boşaltma kararı alınan bölgelerde, güvenlik kuvvetleri imkânlarıyla üniversite personeli ve öğrencilere gerekli duyuru ve yönlendirme işlemlerinin yapılmasını, panik ve kargaşanın önlenmesini, üniversite personeli ve öğrencilerin güvenli ve emin bölgelere taşınmasını sağlar.</w:t>
      </w:r>
    </w:p>
    <w:p w:rsidR="000A47FF" w:rsidRDefault="000A47FF">
      <w:pPr>
        <w:pBdr>
          <w:top w:val="nil"/>
          <w:left w:val="nil"/>
          <w:bottom w:val="nil"/>
          <w:right w:val="nil"/>
          <w:between w:val="nil"/>
        </w:pBdr>
        <w:spacing w:before="180" w:after="180"/>
        <w:jc w:val="both"/>
        <w:rPr>
          <w:rFonts w:ascii="Times New Roman" w:eastAsia="Times New Roman" w:hAnsi="Times New Roman" w:cs="Times New Roman"/>
          <w:color w:val="000000"/>
        </w:rPr>
      </w:pPr>
    </w:p>
    <w:p w:rsidR="00594AAE" w:rsidRDefault="004D7ED6" w:rsidP="000A47FF">
      <w:p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ÜÇÜNCÜ BÖLÜM </w:t>
      </w:r>
    </w:p>
    <w:p w:rsidR="00594AAE" w:rsidRDefault="004D7ED6" w:rsidP="000A47FF">
      <w:p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Mali Hükümler</w:t>
      </w:r>
    </w:p>
    <w:p w:rsidR="00D34A8C" w:rsidRDefault="00D34A8C" w:rsidP="000A47FF">
      <w:pPr>
        <w:pBdr>
          <w:top w:val="nil"/>
          <w:left w:val="nil"/>
          <w:bottom w:val="nil"/>
          <w:right w:val="nil"/>
          <w:between w:val="nil"/>
        </w:pBdr>
        <w:spacing w:after="0"/>
        <w:jc w:val="center"/>
        <w:rPr>
          <w:rFonts w:ascii="Times New Roman" w:eastAsia="Times New Roman" w:hAnsi="Times New Roman" w:cs="Times New Roman"/>
          <w:color w:val="000000"/>
        </w:rPr>
      </w:pPr>
    </w:p>
    <w:p w:rsidR="00594AAE" w:rsidRDefault="006B5EEC" w:rsidP="00B03CFA">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 xml:space="preserve">Bütçe </w:t>
      </w:r>
    </w:p>
    <w:p w:rsidR="00594AAE" w:rsidRDefault="006B5EEC" w:rsidP="00B03CFA">
      <w:pPr>
        <w:pBdr>
          <w:top w:val="nil"/>
          <w:left w:val="nil"/>
          <w:bottom w:val="nil"/>
          <w:right w:val="nil"/>
          <w:between w:val="nil"/>
        </w:pBdr>
        <w:spacing w:after="0"/>
        <w:jc w:val="both"/>
        <w:rPr>
          <w:rFonts w:ascii="Times New Roman" w:eastAsia="Times New Roman" w:hAnsi="Times New Roman" w:cs="Times New Roman"/>
          <w:color w:val="000000"/>
        </w:rPr>
      </w:pPr>
      <w:r w:rsidRPr="006B5EEC">
        <w:rPr>
          <w:rFonts w:ascii="Times New Roman" w:eastAsia="Times New Roman" w:hAnsi="Times New Roman" w:cs="Times New Roman"/>
          <w:b/>
          <w:color w:val="000000"/>
        </w:rPr>
        <w:tab/>
      </w:r>
      <w:r w:rsidR="004D7ED6" w:rsidRPr="006B5EEC">
        <w:rPr>
          <w:rFonts w:ascii="Times New Roman" w:eastAsia="Times New Roman" w:hAnsi="Times New Roman" w:cs="Times New Roman"/>
          <w:b/>
          <w:color w:val="000000"/>
        </w:rPr>
        <w:t>MADDE 6-</w:t>
      </w:r>
      <w:r w:rsidR="004D7ED6">
        <w:rPr>
          <w:rFonts w:ascii="Times New Roman" w:eastAsia="Times New Roman" w:hAnsi="Times New Roman" w:cs="Times New Roman"/>
          <w:b/>
          <w:color w:val="000000"/>
        </w:rPr>
        <w:t xml:space="preserve"> (1)</w:t>
      </w:r>
      <w:r w:rsidR="004D7ED6">
        <w:rPr>
          <w:rFonts w:ascii="Times New Roman" w:eastAsia="Times New Roman" w:hAnsi="Times New Roman" w:cs="Times New Roman"/>
          <w:color w:val="000000"/>
        </w:rPr>
        <w:t xml:space="preserve"> Üniversitemize ait her türlü yapı, bina, tesis ve işletmeler ile Yerleşke içerisinde yer alan açık alanlarda; Yönergede belirtilen görevlerle ilgili ihtiyaç duyulacak harcamalar için ödenek ayrılır. Kimyasal, biyolojik, radyolojik ve nükleer tehdit ve tehlikelere karşı alınacak önlemler ve yapılacak hizmetleri yürütmekle görevli üniversitemizin tehlike öncesinde yapması gereken planlama ve hazırlık çalışmaları, tehlike sırasında ve tehlike sonrasında acil müdahale ve iyileştirme faaliyetlerine ilişkin yıllık o bütçelere konulan ödenek başka bir amaç için kullanılamaz.  </w:t>
      </w:r>
    </w:p>
    <w:p w:rsidR="00594AAE" w:rsidRDefault="00594AAE">
      <w:pPr>
        <w:pBdr>
          <w:top w:val="nil"/>
          <w:left w:val="nil"/>
          <w:bottom w:val="nil"/>
          <w:right w:val="nil"/>
          <w:between w:val="nil"/>
        </w:pBdr>
        <w:spacing w:after="0"/>
        <w:jc w:val="both"/>
        <w:rPr>
          <w:rFonts w:ascii="Times New Roman" w:eastAsia="Times New Roman" w:hAnsi="Times New Roman" w:cs="Times New Roman"/>
          <w:color w:val="000000"/>
        </w:rPr>
      </w:pPr>
    </w:p>
    <w:p w:rsidR="00594AAE" w:rsidRDefault="004D7ED6" w:rsidP="00B03CFA">
      <w:p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DÖRDÜNCÜ BÖLÜM</w:t>
      </w:r>
    </w:p>
    <w:p w:rsidR="00594AAE" w:rsidRDefault="004D7ED6" w:rsidP="00B03CFA">
      <w:p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Çeşitli ve Son Hükümler</w:t>
      </w:r>
    </w:p>
    <w:p w:rsidR="00594AAE" w:rsidRDefault="00594AAE" w:rsidP="00B03CFA">
      <w:pPr>
        <w:pBdr>
          <w:top w:val="nil"/>
          <w:left w:val="nil"/>
          <w:bottom w:val="nil"/>
          <w:right w:val="nil"/>
          <w:between w:val="nil"/>
        </w:pBdr>
        <w:spacing w:after="0"/>
        <w:jc w:val="both"/>
        <w:rPr>
          <w:rFonts w:ascii="Times New Roman" w:eastAsia="Times New Roman" w:hAnsi="Times New Roman" w:cs="Times New Roman"/>
          <w:b/>
          <w:color w:val="000000"/>
        </w:rPr>
      </w:pPr>
    </w:p>
    <w:p w:rsidR="00594AAE" w:rsidRDefault="00B03CFA" w:rsidP="00B03CFA">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Eğitim ve Tatbikat</w:t>
      </w:r>
    </w:p>
    <w:p w:rsidR="00594AAE" w:rsidRDefault="00B03CFA" w:rsidP="00B03CFA">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b/>
        <w:t>Genel eğitim</w:t>
      </w:r>
    </w:p>
    <w:p w:rsidR="00594AAE" w:rsidRDefault="00B03CFA" w:rsidP="00B03CFA">
      <w:pPr>
        <w:pBdr>
          <w:top w:val="nil"/>
          <w:left w:val="nil"/>
          <w:bottom w:val="nil"/>
          <w:right w:val="nil"/>
          <w:between w:val="nil"/>
        </w:pBdr>
        <w:spacing w:after="0"/>
        <w:jc w:val="both"/>
        <w:rPr>
          <w:rFonts w:ascii="Times New Roman" w:eastAsia="Times New Roman" w:hAnsi="Times New Roman" w:cs="Times New Roman"/>
          <w:color w:val="000000"/>
        </w:rPr>
      </w:pPr>
      <w:r w:rsidRPr="00B03CFA">
        <w:rPr>
          <w:rFonts w:ascii="Times New Roman" w:eastAsia="Times New Roman" w:hAnsi="Times New Roman" w:cs="Times New Roman"/>
          <w:b/>
          <w:color w:val="000000"/>
        </w:rPr>
        <w:tab/>
      </w:r>
      <w:r w:rsidR="004D7ED6" w:rsidRPr="00B03CFA">
        <w:rPr>
          <w:rFonts w:ascii="Times New Roman" w:eastAsia="Times New Roman" w:hAnsi="Times New Roman" w:cs="Times New Roman"/>
          <w:b/>
          <w:color w:val="000000"/>
        </w:rPr>
        <w:t>MADDE 7-</w:t>
      </w:r>
      <w:r w:rsidR="004D7ED6">
        <w:rPr>
          <w:rFonts w:ascii="Times New Roman" w:eastAsia="Times New Roman" w:hAnsi="Times New Roman" w:cs="Times New Roman"/>
          <w:b/>
          <w:color w:val="000000"/>
        </w:rPr>
        <w:t xml:space="preserve"> (1)</w:t>
      </w:r>
      <w:r w:rsidR="004D7ED6">
        <w:rPr>
          <w:rFonts w:ascii="Times New Roman" w:eastAsia="Times New Roman" w:hAnsi="Times New Roman" w:cs="Times New Roman"/>
          <w:color w:val="000000"/>
        </w:rPr>
        <w:t xml:space="preserve"> Acil durum ekipleri, birim amirlerinin sorumluluğunda kimyasal, biyolojik, radyolojik ve nükleer tehdit ve tehlikelere karşı alınacak önlemler, can ve mal kurtarma, ilk yardım faaliyetleri konularında, hastane, mahalli itfaiye ile Diyarbakır Valiliği İl Afet ve Acil Durum Müdürlüğü teşkilatlarından yararlanılarak eğitilir, yapılan tatbikatlarla bilgi ve becerileri artırılır.</w:t>
      </w:r>
    </w:p>
    <w:p w:rsidR="00594AAE" w:rsidRDefault="00594AAE" w:rsidP="00B03CFA">
      <w:pPr>
        <w:pBdr>
          <w:top w:val="nil"/>
          <w:left w:val="nil"/>
          <w:bottom w:val="nil"/>
          <w:right w:val="nil"/>
          <w:between w:val="nil"/>
        </w:pBdr>
        <w:spacing w:after="0"/>
        <w:jc w:val="both"/>
        <w:rPr>
          <w:rFonts w:ascii="Times New Roman" w:eastAsia="Times New Roman" w:hAnsi="Times New Roman" w:cs="Times New Roman"/>
          <w:color w:val="000000"/>
        </w:rPr>
      </w:pPr>
    </w:p>
    <w:p w:rsidR="00594AAE" w:rsidRDefault="00B03CFA" w:rsidP="00B03CFA">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Bilgi ve Belgeler</w:t>
      </w:r>
    </w:p>
    <w:p w:rsidR="00594AAE" w:rsidRDefault="00B03CFA" w:rsidP="00B03CFA">
      <w:pPr>
        <w:pBdr>
          <w:top w:val="nil"/>
          <w:left w:val="nil"/>
          <w:bottom w:val="nil"/>
          <w:right w:val="nil"/>
          <w:between w:val="nil"/>
        </w:pBdr>
        <w:spacing w:after="0"/>
        <w:jc w:val="both"/>
        <w:rPr>
          <w:rFonts w:ascii="Times New Roman" w:eastAsia="Times New Roman" w:hAnsi="Times New Roman" w:cs="Times New Roman"/>
          <w:color w:val="000000"/>
        </w:rPr>
      </w:pPr>
      <w:r w:rsidRPr="00B03CFA">
        <w:rPr>
          <w:rFonts w:ascii="Times New Roman" w:eastAsia="Times New Roman" w:hAnsi="Times New Roman" w:cs="Times New Roman"/>
          <w:b/>
          <w:color w:val="000000"/>
        </w:rPr>
        <w:tab/>
      </w:r>
      <w:r w:rsidR="004D7ED6" w:rsidRPr="00B03CFA">
        <w:rPr>
          <w:rFonts w:ascii="Times New Roman" w:eastAsia="Times New Roman" w:hAnsi="Times New Roman" w:cs="Times New Roman"/>
          <w:b/>
          <w:color w:val="000000"/>
        </w:rPr>
        <w:t>MADDE 8-(1)</w:t>
      </w:r>
      <w:r w:rsidR="004D7ED6">
        <w:rPr>
          <w:rFonts w:ascii="Times New Roman" w:eastAsia="Times New Roman" w:hAnsi="Times New Roman" w:cs="Times New Roman"/>
          <w:color w:val="000000"/>
        </w:rPr>
        <w:t xml:space="preserve"> Üniversitemiz bu Yönerge kapsamında gerçekleştirilen ve gerçekleştirilecek tüm çalışmalarda; Başbakanlık adına talep edilecek her türlü bilgi, belge ve dokümanı Afet ve Acil Durum Yönetimi Başkanlığına vermek zorundadır.</w:t>
      </w:r>
    </w:p>
    <w:p w:rsidR="00594AAE" w:rsidRDefault="00594AAE" w:rsidP="00B03CFA">
      <w:pPr>
        <w:pBdr>
          <w:top w:val="nil"/>
          <w:left w:val="nil"/>
          <w:bottom w:val="nil"/>
          <w:right w:val="nil"/>
          <w:between w:val="nil"/>
        </w:pBdr>
        <w:spacing w:after="0"/>
        <w:jc w:val="both"/>
        <w:rPr>
          <w:rFonts w:ascii="Times New Roman" w:eastAsia="Times New Roman" w:hAnsi="Times New Roman" w:cs="Times New Roman"/>
          <w:color w:val="000000"/>
        </w:rPr>
      </w:pPr>
    </w:p>
    <w:p w:rsidR="00594AAE" w:rsidRDefault="00B03CFA" w:rsidP="00B03CFA">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 xml:space="preserve">Denetim </w:t>
      </w:r>
    </w:p>
    <w:p w:rsidR="00594AAE" w:rsidRDefault="00B03CFA" w:rsidP="00B03CFA">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sidRPr="00B03CFA">
        <w:rPr>
          <w:rFonts w:ascii="Times New Roman" w:eastAsia="Times New Roman" w:hAnsi="Times New Roman" w:cs="Times New Roman"/>
          <w:b/>
          <w:color w:val="000000"/>
        </w:rPr>
        <w:t>MADDE 9- (1)</w:t>
      </w:r>
      <w:r>
        <w:rPr>
          <w:rFonts w:ascii="Times New Roman" w:eastAsia="Times New Roman" w:hAnsi="Times New Roman" w:cs="Times New Roman"/>
          <w:color w:val="000000"/>
        </w:rPr>
        <w:t xml:space="preserve"> Yönerge </w:t>
      </w:r>
      <w:r w:rsidR="004D7ED6">
        <w:rPr>
          <w:rFonts w:ascii="Times New Roman" w:eastAsia="Times New Roman" w:hAnsi="Times New Roman" w:cs="Times New Roman"/>
          <w:color w:val="000000"/>
        </w:rPr>
        <w:t>hükümlerinin uygulanıp uygulanmadığı aşağıdaki şekilde denetlenir:</w:t>
      </w:r>
    </w:p>
    <w:p w:rsidR="00594AAE" w:rsidRDefault="00594AAE" w:rsidP="00B03CFA">
      <w:pPr>
        <w:pBdr>
          <w:top w:val="nil"/>
          <w:left w:val="nil"/>
          <w:bottom w:val="nil"/>
          <w:right w:val="nil"/>
          <w:between w:val="nil"/>
        </w:pBdr>
        <w:spacing w:after="0"/>
        <w:jc w:val="both"/>
        <w:rPr>
          <w:rFonts w:ascii="Times New Roman" w:eastAsia="Times New Roman" w:hAnsi="Times New Roman" w:cs="Times New Roman"/>
          <w:color w:val="000000"/>
        </w:rPr>
      </w:pPr>
    </w:p>
    <w:p w:rsidR="00594AAE" w:rsidRDefault="00B03CFA">
      <w:pPr>
        <w:jc w:val="both"/>
        <w:rPr>
          <w:rFonts w:ascii="Times New Roman" w:eastAsia="Times New Roman" w:hAnsi="Times New Roman" w:cs="Times New Roman"/>
        </w:rPr>
      </w:pPr>
      <w:r>
        <w:rPr>
          <w:rFonts w:ascii="Times New Roman" w:eastAsia="Times New Roman" w:hAnsi="Times New Roman" w:cs="Times New Roman"/>
          <w:b/>
        </w:rPr>
        <w:tab/>
      </w:r>
      <w:r w:rsidR="004D7ED6" w:rsidRPr="00B03CFA">
        <w:rPr>
          <w:rFonts w:ascii="Times New Roman" w:eastAsia="Times New Roman" w:hAnsi="Times New Roman" w:cs="Times New Roman"/>
          <w:b/>
        </w:rPr>
        <w:t>a)</w:t>
      </w:r>
      <w:r w:rsidR="004D7ED6">
        <w:rPr>
          <w:rFonts w:ascii="Times New Roman" w:eastAsia="Times New Roman" w:hAnsi="Times New Roman" w:cs="Times New Roman"/>
        </w:rPr>
        <w:t xml:space="preserve"> Üniversitemize ait her türlü yapı, bina, laboratuar, tesis, işletme ve açık alanları; Rektör tarafından görevlendirilen bir Rektör Yardımcısı başkanlığında, Tıp Fakültesi Dekanı, Fen Fakültesi Dekanı, Mühendislik Fakültesi Dekanı, Genel Sekreter, Yapı İşleri ve Teknik Daire Başkanı, Bilimsel ve Teknoloji Uygulama ve Araştırma Merkezi Müdürü, Hukuk Müşaviri, Sivil Savunma Uzmanı ile Koruma ve Güvenlik Amirinden oluşan bir heyet tarafından haberli veya habersiz olarak denetlenir.</w:t>
      </w:r>
    </w:p>
    <w:p w:rsidR="00594AAE" w:rsidRDefault="00B03CFA">
      <w:pPr>
        <w:spacing w:after="0"/>
        <w:jc w:val="both"/>
        <w:rPr>
          <w:rFonts w:ascii="Times New Roman" w:eastAsia="Times New Roman" w:hAnsi="Times New Roman" w:cs="Times New Roman"/>
        </w:rPr>
      </w:pPr>
      <w:r>
        <w:rPr>
          <w:rFonts w:ascii="Times New Roman" w:eastAsia="Times New Roman" w:hAnsi="Times New Roman" w:cs="Times New Roman"/>
        </w:rPr>
        <w:tab/>
      </w:r>
      <w:r w:rsidR="004D7ED6" w:rsidRPr="00B03CFA">
        <w:rPr>
          <w:rFonts w:ascii="Times New Roman" w:eastAsia="Times New Roman" w:hAnsi="Times New Roman" w:cs="Times New Roman"/>
          <w:b/>
        </w:rPr>
        <w:t>b)</w:t>
      </w:r>
      <w:r w:rsidR="004D7ED6">
        <w:rPr>
          <w:rFonts w:ascii="Times New Roman" w:eastAsia="Times New Roman" w:hAnsi="Times New Roman" w:cs="Times New Roman"/>
        </w:rPr>
        <w:t xml:space="preserve"> Üniversitemize ait her türlü yapı, bina, laboratuar, tesis ve işletmenin birim amirleri, binaların denetim elemanlarınca arzu edilen bölümlerini ve teçhizatını gösterme</w:t>
      </w:r>
      <w:r>
        <w:rPr>
          <w:rFonts w:ascii="Times New Roman" w:eastAsia="Times New Roman" w:hAnsi="Times New Roman" w:cs="Times New Roman"/>
        </w:rPr>
        <w:t xml:space="preserve">k, istenilen bilgi ve belgeleri </w:t>
      </w:r>
      <w:r w:rsidR="004D7ED6">
        <w:rPr>
          <w:rFonts w:ascii="Times New Roman" w:eastAsia="Times New Roman" w:hAnsi="Times New Roman" w:cs="Times New Roman"/>
        </w:rPr>
        <w:t>vermek zorundadır. Denetim sonucunda eksik bulunan ve giderilmesi istenen aksaklıklar ile talep edilen önlemlerin heyet tarafından uygun görülen bir süre içerisinde birim amirlerince yerine getirilmesi zorunludur.</w:t>
      </w:r>
    </w:p>
    <w:p w:rsidR="00594AAE" w:rsidRDefault="00594AAE">
      <w:pPr>
        <w:spacing w:after="0"/>
        <w:jc w:val="both"/>
        <w:rPr>
          <w:rFonts w:ascii="Times New Roman" w:eastAsia="Times New Roman" w:hAnsi="Times New Roman" w:cs="Times New Roman"/>
        </w:rPr>
      </w:pPr>
    </w:p>
    <w:p w:rsidR="00594AAE" w:rsidRDefault="00B03CFA">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Yönerge hazırlanması</w:t>
      </w:r>
    </w:p>
    <w:p w:rsidR="00594AAE" w:rsidRDefault="00B03CFA">
      <w:pPr>
        <w:pBdr>
          <w:top w:val="nil"/>
          <w:left w:val="nil"/>
          <w:bottom w:val="nil"/>
          <w:right w:val="nil"/>
          <w:between w:val="nil"/>
        </w:pBdr>
        <w:spacing w:after="0"/>
        <w:jc w:val="both"/>
        <w:rPr>
          <w:rFonts w:ascii="Times New Roman" w:eastAsia="Times New Roman" w:hAnsi="Times New Roman" w:cs="Times New Roman"/>
          <w:color w:val="000000"/>
        </w:rPr>
      </w:pPr>
      <w:r w:rsidRPr="00B03CFA">
        <w:rPr>
          <w:rFonts w:ascii="Times New Roman" w:eastAsia="Times New Roman" w:hAnsi="Times New Roman" w:cs="Times New Roman"/>
          <w:b/>
          <w:color w:val="000000"/>
        </w:rPr>
        <w:tab/>
      </w:r>
      <w:r w:rsidR="004D7ED6" w:rsidRPr="00B03CFA">
        <w:rPr>
          <w:rFonts w:ascii="Times New Roman" w:eastAsia="Times New Roman" w:hAnsi="Times New Roman" w:cs="Times New Roman"/>
          <w:b/>
          <w:color w:val="000000"/>
        </w:rPr>
        <w:t>MADDE 10</w:t>
      </w:r>
      <w:r w:rsidR="004D7ED6">
        <w:rPr>
          <w:rFonts w:ascii="Times New Roman" w:eastAsia="Times New Roman" w:hAnsi="Times New Roman" w:cs="Times New Roman"/>
          <w:b/>
          <w:color w:val="000000"/>
        </w:rPr>
        <w:t>- (1)</w:t>
      </w:r>
      <w:r w:rsidR="004D7ED6">
        <w:rPr>
          <w:rFonts w:ascii="Times New Roman" w:eastAsia="Times New Roman" w:hAnsi="Times New Roman" w:cs="Times New Roman"/>
          <w:color w:val="000000"/>
        </w:rPr>
        <w:t xml:space="preserve"> Yönergenin uygulanmasını sağlamak üzere, Üniversitemize ait her türlü yapı, bina, laboratuar, tesis ve işletmelerin özelliklerini dikkate alarak, KBRN tehlikelere dair görevlerinin yerine getirilmesi için, üniversite senatosu tarafından onaylanarak yürürlüğe konulur. Değişen şartlara göre güncelliği sağlanır.</w:t>
      </w:r>
    </w:p>
    <w:p w:rsidR="00594AAE" w:rsidRDefault="00594AAE">
      <w:pPr>
        <w:pBdr>
          <w:top w:val="nil"/>
          <w:left w:val="nil"/>
          <w:bottom w:val="nil"/>
          <w:right w:val="nil"/>
          <w:between w:val="nil"/>
        </w:pBdr>
        <w:spacing w:after="0"/>
        <w:jc w:val="both"/>
        <w:rPr>
          <w:rFonts w:ascii="Times New Roman" w:eastAsia="Times New Roman" w:hAnsi="Times New Roman" w:cs="Times New Roman"/>
          <w:color w:val="000000"/>
        </w:rPr>
      </w:pPr>
    </w:p>
    <w:p w:rsidR="00594AAE" w:rsidRDefault="00B03CFA">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Yürürlük</w:t>
      </w:r>
    </w:p>
    <w:p w:rsidR="00594AAE" w:rsidRDefault="00B03CFA">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sidRPr="00B03CFA">
        <w:rPr>
          <w:rFonts w:ascii="Times New Roman" w:eastAsia="Times New Roman" w:hAnsi="Times New Roman" w:cs="Times New Roman"/>
          <w:b/>
          <w:color w:val="000000"/>
        </w:rPr>
        <w:t>M</w:t>
      </w:r>
      <w:r w:rsidRPr="00B03CFA">
        <w:rPr>
          <w:rFonts w:ascii="Times New Roman" w:eastAsia="Times New Roman" w:hAnsi="Times New Roman" w:cs="Times New Roman"/>
          <w:b/>
          <w:color w:val="000000"/>
        </w:rPr>
        <w:t xml:space="preserve">ADDE </w:t>
      </w:r>
      <w:r w:rsidR="004D7ED6">
        <w:rPr>
          <w:rFonts w:ascii="Times New Roman" w:eastAsia="Times New Roman" w:hAnsi="Times New Roman" w:cs="Times New Roman"/>
          <w:b/>
          <w:color w:val="000000"/>
        </w:rPr>
        <w:t>11- (1)</w:t>
      </w:r>
      <w:r w:rsidR="004D7ED6">
        <w:rPr>
          <w:rFonts w:ascii="Times New Roman" w:eastAsia="Times New Roman" w:hAnsi="Times New Roman" w:cs="Times New Roman"/>
          <w:color w:val="000000"/>
        </w:rPr>
        <w:t xml:space="preserve"> Bu Yönerge Dicle Üniversitesi Senatosunca onaylandığı tarihten itibaren yürürlüğe girer.</w:t>
      </w:r>
    </w:p>
    <w:p w:rsidR="00594AAE" w:rsidRDefault="00594AAE">
      <w:pPr>
        <w:pBdr>
          <w:top w:val="nil"/>
          <w:left w:val="nil"/>
          <w:bottom w:val="nil"/>
          <w:right w:val="nil"/>
          <w:between w:val="nil"/>
        </w:pBdr>
        <w:spacing w:after="0"/>
        <w:jc w:val="both"/>
        <w:rPr>
          <w:rFonts w:ascii="Times New Roman" w:eastAsia="Times New Roman" w:hAnsi="Times New Roman" w:cs="Times New Roman"/>
          <w:color w:val="000000"/>
        </w:rPr>
      </w:pPr>
    </w:p>
    <w:p w:rsidR="00594AAE" w:rsidRDefault="00B03CFA">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Yürütme</w:t>
      </w:r>
    </w:p>
    <w:p w:rsidR="00594AAE" w:rsidRDefault="00B03CFA">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4D7ED6">
        <w:rPr>
          <w:rFonts w:ascii="Times New Roman" w:eastAsia="Times New Roman" w:hAnsi="Times New Roman" w:cs="Times New Roman"/>
          <w:b/>
          <w:color w:val="000000"/>
        </w:rPr>
        <w:t>MADDE 12- (1)</w:t>
      </w:r>
      <w:r w:rsidR="004D7ED6">
        <w:rPr>
          <w:rFonts w:ascii="Times New Roman" w:eastAsia="Times New Roman" w:hAnsi="Times New Roman" w:cs="Times New Roman"/>
          <w:color w:val="000000"/>
        </w:rPr>
        <w:t xml:space="preserve"> Bu Yönerge hükümleri Dicle Üniversitesi Rektörü tarafından yürütülür. </w:t>
      </w:r>
    </w:p>
    <w:p w:rsidR="00895894" w:rsidRDefault="00895894">
      <w:pPr>
        <w:pBdr>
          <w:top w:val="nil"/>
          <w:left w:val="nil"/>
          <w:bottom w:val="nil"/>
          <w:right w:val="nil"/>
          <w:between w:val="nil"/>
        </w:pBdr>
        <w:spacing w:after="0"/>
        <w:jc w:val="both"/>
        <w:rPr>
          <w:rFonts w:ascii="Times New Roman" w:eastAsia="Times New Roman" w:hAnsi="Times New Roman" w:cs="Times New Roman"/>
          <w:color w:val="000000"/>
        </w:rPr>
      </w:pPr>
    </w:p>
    <w:p w:rsidR="00895894" w:rsidRDefault="00895894">
      <w:pPr>
        <w:pBdr>
          <w:top w:val="nil"/>
          <w:left w:val="nil"/>
          <w:bottom w:val="nil"/>
          <w:right w:val="nil"/>
          <w:between w:val="nil"/>
        </w:pBdr>
        <w:spacing w:after="0"/>
        <w:jc w:val="both"/>
        <w:rPr>
          <w:rFonts w:ascii="Times New Roman" w:eastAsia="Times New Roman" w:hAnsi="Times New Roman" w:cs="Times New Roman"/>
          <w:color w:val="000000"/>
        </w:rPr>
      </w:pPr>
    </w:p>
    <w:p w:rsidR="00895894" w:rsidRDefault="00895894">
      <w:pPr>
        <w:pBdr>
          <w:top w:val="nil"/>
          <w:left w:val="nil"/>
          <w:bottom w:val="nil"/>
          <w:right w:val="nil"/>
          <w:between w:val="nil"/>
        </w:pBdr>
        <w:spacing w:after="0"/>
        <w:jc w:val="both"/>
        <w:rPr>
          <w:rFonts w:ascii="Times New Roman" w:eastAsia="Times New Roman" w:hAnsi="Times New Roman" w:cs="Times New Roman"/>
          <w:color w:val="000000"/>
        </w:rPr>
      </w:pPr>
    </w:p>
    <w:tbl>
      <w:tblPr>
        <w:tblStyle w:val="TabloKlavuzu"/>
        <w:tblW w:w="0" w:type="auto"/>
        <w:tblInd w:w="279" w:type="dxa"/>
        <w:tblLook w:val="04A0" w:firstRow="1" w:lastRow="0" w:firstColumn="1" w:lastColumn="0" w:noHBand="0" w:noVBand="1"/>
      </w:tblPr>
      <w:tblGrid>
        <w:gridCol w:w="4246"/>
        <w:gridCol w:w="4826"/>
      </w:tblGrid>
      <w:tr w:rsidR="00895894" w:rsidTr="00895894">
        <w:tc>
          <w:tcPr>
            <w:tcW w:w="9072" w:type="dxa"/>
            <w:gridSpan w:val="2"/>
            <w:tcBorders>
              <w:top w:val="single" w:sz="4" w:space="0" w:color="auto"/>
              <w:left w:val="single" w:sz="4" w:space="0" w:color="auto"/>
              <w:bottom w:val="single" w:sz="4" w:space="0" w:color="auto"/>
              <w:right w:val="single" w:sz="4" w:space="0" w:color="auto"/>
            </w:tcBorders>
            <w:hideMark/>
          </w:tcPr>
          <w:p w:rsidR="00895894" w:rsidRDefault="00895894" w:rsidP="004F64D4">
            <w:pPr>
              <w:jc w:val="center"/>
              <w:rPr>
                <w:b/>
              </w:rPr>
            </w:pPr>
            <w:r>
              <w:rPr>
                <w:b/>
              </w:rPr>
              <w:t>Yöne</w:t>
            </w:r>
            <w:r w:rsidR="004F64D4">
              <w:rPr>
                <w:b/>
              </w:rPr>
              <w:t>rgenin</w:t>
            </w:r>
            <w:r>
              <w:rPr>
                <w:b/>
              </w:rPr>
              <w:t xml:space="preserve"> Kabul Edildiği Senato’ nun</w:t>
            </w:r>
          </w:p>
        </w:tc>
      </w:tr>
      <w:tr w:rsidR="00895894" w:rsidTr="00895894">
        <w:tc>
          <w:tcPr>
            <w:tcW w:w="4246" w:type="dxa"/>
            <w:tcBorders>
              <w:top w:val="single" w:sz="4" w:space="0" w:color="auto"/>
              <w:left w:val="single" w:sz="4" w:space="0" w:color="auto"/>
              <w:bottom w:val="single" w:sz="4" w:space="0" w:color="auto"/>
              <w:right w:val="single" w:sz="4" w:space="0" w:color="auto"/>
            </w:tcBorders>
            <w:hideMark/>
          </w:tcPr>
          <w:p w:rsidR="00895894" w:rsidRDefault="00895894">
            <w:pPr>
              <w:jc w:val="center"/>
              <w:rPr>
                <w:b/>
              </w:rPr>
            </w:pPr>
            <w:r>
              <w:rPr>
                <w:b/>
              </w:rPr>
              <w:t>Tarihi</w:t>
            </w:r>
          </w:p>
        </w:tc>
        <w:tc>
          <w:tcPr>
            <w:tcW w:w="4826" w:type="dxa"/>
            <w:tcBorders>
              <w:top w:val="single" w:sz="4" w:space="0" w:color="auto"/>
              <w:left w:val="single" w:sz="4" w:space="0" w:color="auto"/>
              <w:bottom w:val="single" w:sz="4" w:space="0" w:color="auto"/>
              <w:right w:val="single" w:sz="4" w:space="0" w:color="auto"/>
            </w:tcBorders>
            <w:hideMark/>
          </w:tcPr>
          <w:p w:rsidR="00895894" w:rsidRDefault="00895894">
            <w:pPr>
              <w:jc w:val="center"/>
              <w:rPr>
                <w:b/>
              </w:rPr>
            </w:pPr>
            <w:r>
              <w:rPr>
                <w:b/>
              </w:rPr>
              <w:t>Sayısı</w:t>
            </w:r>
          </w:p>
        </w:tc>
      </w:tr>
      <w:tr w:rsidR="00895894" w:rsidTr="00895894">
        <w:tc>
          <w:tcPr>
            <w:tcW w:w="4246" w:type="dxa"/>
            <w:tcBorders>
              <w:top w:val="single" w:sz="4" w:space="0" w:color="auto"/>
              <w:left w:val="single" w:sz="4" w:space="0" w:color="auto"/>
              <w:bottom w:val="single" w:sz="4" w:space="0" w:color="auto"/>
              <w:right w:val="single" w:sz="4" w:space="0" w:color="auto"/>
            </w:tcBorders>
          </w:tcPr>
          <w:p w:rsidR="00895894" w:rsidRDefault="00895894" w:rsidP="00895894">
            <w:pPr>
              <w:jc w:val="center"/>
            </w:pPr>
            <w:r>
              <w:t>10.10.2013</w:t>
            </w:r>
          </w:p>
        </w:tc>
        <w:tc>
          <w:tcPr>
            <w:tcW w:w="4826" w:type="dxa"/>
            <w:tcBorders>
              <w:top w:val="single" w:sz="4" w:space="0" w:color="auto"/>
              <w:left w:val="single" w:sz="4" w:space="0" w:color="auto"/>
              <w:bottom w:val="single" w:sz="4" w:space="0" w:color="auto"/>
              <w:right w:val="single" w:sz="4" w:space="0" w:color="auto"/>
            </w:tcBorders>
          </w:tcPr>
          <w:p w:rsidR="00895894" w:rsidRDefault="00895894" w:rsidP="00895894">
            <w:pPr>
              <w:jc w:val="center"/>
            </w:pPr>
            <w:r>
              <w:t>2013/14-3</w:t>
            </w:r>
          </w:p>
        </w:tc>
      </w:tr>
      <w:tr w:rsidR="00895894" w:rsidTr="00895894">
        <w:tc>
          <w:tcPr>
            <w:tcW w:w="4246" w:type="dxa"/>
            <w:tcBorders>
              <w:top w:val="single" w:sz="4" w:space="0" w:color="auto"/>
              <w:left w:val="single" w:sz="4" w:space="0" w:color="auto"/>
              <w:bottom w:val="single" w:sz="4" w:space="0" w:color="auto"/>
              <w:right w:val="single" w:sz="4" w:space="0" w:color="auto"/>
            </w:tcBorders>
          </w:tcPr>
          <w:p w:rsidR="00895894" w:rsidRDefault="00895894">
            <w:pPr>
              <w:jc w:val="both"/>
            </w:pPr>
          </w:p>
        </w:tc>
        <w:tc>
          <w:tcPr>
            <w:tcW w:w="4826" w:type="dxa"/>
            <w:tcBorders>
              <w:top w:val="single" w:sz="4" w:space="0" w:color="auto"/>
              <w:left w:val="single" w:sz="4" w:space="0" w:color="auto"/>
              <w:bottom w:val="single" w:sz="4" w:space="0" w:color="auto"/>
              <w:right w:val="single" w:sz="4" w:space="0" w:color="auto"/>
            </w:tcBorders>
          </w:tcPr>
          <w:p w:rsidR="00895894" w:rsidRDefault="00895894">
            <w:pPr>
              <w:jc w:val="both"/>
            </w:pPr>
          </w:p>
        </w:tc>
      </w:tr>
      <w:tr w:rsidR="00895894" w:rsidTr="00895894">
        <w:tc>
          <w:tcPr>
            <w:tcW w:w="9072" w:type="dxa"/>
            <w:gridSpan w:val="2"/>
            <w:tcBorders>
              <w:top w:val="single" w:sz="4" w:space="0" w:color="auto"/>
              <w:left w:val="single" w:sz="4" w:space="0" w:color="auto"/>
              <w:bottom w:val="single" w:sz="4" w:space="0" w:color="auto"/>
              <w:right w:val="single" w:sz="4" w:space="0" w:color="auto"/>
            </w:tcBorders>
            <w:hideMark/>
          </w:tcPr>
          <w:p w:rsidR="00895894" w:rsidRDefault="004F64D4">
            <w:pPr>
              <w:jc w:val="center"/>
            </w:pPr>
            <w:r>
              <w:rPr>
                <w:b/>
              </w:rPr>
              <w:t>Yönergenin</w:t>
            </w:r>
            <w:bookmarkStart w:id="0" w:name="_GoBack"/>
            <w:bookmarkEnd w:id="0"/>
            <w:r w:rsidR="00895894">
              <w:rPr>
                <w:b/>
              </w:rPr>
              <w:t xml:space="preserve"> Değişiklik veya İptali(*) Yapılan Senato’ nun</w:t>
            </w:r>
          </w:p>
        </w:tc>
      </w:tr>
      <w:tr w:rsidR="00895894" w:rsidTr="00895894">
        <w:tc>
          <w:tcPr>
            <w:tcW w:w="4246" w:type="dxa"/>
            <w:tcBorders>
              <w:top w:val="single" w:sz="4" w:space="0" w:color="auto"/>
              <w:left w:val="single" w:sz="4" w:space="0" w:color="auto"/>
              <w:bottom w:val="single" w:sz="4" w:space="0" w:color="auto"/>
              <w:right w:val="single" w:sz="4" w:space="0" w:color="auto"/>
            </w:tcBorders>
            <w:hideMark/>
          </w:tcPr>
          <w:p w:rsidR="00895894" w:rsidRDefault="00895894">
            <w:pPr>
              <w:jc w:val="center"/>
              <w:rPr>
                <w:b/>
              </w:rPr>
            </w:pPr>
            <w:r>
              <w:rPr>
                <w:b/>
              </w:rPr>
              <w:t>Tarihi</w:t>
            </w:r>
          </w:p>
        </w:tc>
        <w:tc>
          <w:tcPr>
            <w:tcW w:w="4826" w:type="dxa"/>
            <w:tcBorders>
              <w:top w:val="single" w:sz="4" w:space="0" w:color="auto"/>
              <w:left w:val="single" w:sz="4" w:space="0" w:color="auto"/>
              <w:bottom w:val="single" w:sz="4" w:space="0" w:color="auto"/>
              <w:right w:val="single" w:sz="4" w:space="0" w:color="auto"/>
            </w:tcBorders>
            <w:hideMark/>
          </w:tcPr>
          <w:p w:rsidR="00895894" w:rsidRDefault="00895894">
            <w:pPr>
              <w:jc w:val="center"/>
              <w:rPr>
                <w:b/>
              </w:rPr>
            </w:pPr>
            <w:r>
              <w:rPr>
                <w:b/>
              </w:rPr>
              <w:t>Sayısı</w:t>
            </w:r>
          </w:p>
        </w:tc>
      </w:tr>
      <w:tr w:rsidR="00895894" w:rsidTr="00895894">
        <w:tc>
          <w:tcPr>
            <w:tcW w:w="4246" w:type="dxa"/>
            <w:tcBorders>
              <w:top w:val="single" w:sz="4" w:space="0" w:color="auto"/>
              <w:left w:val="single" w:sz="4" w:space="0" w:color="auto"/>
              <w:bottom w:val="single" w:sz="4" w:space="0" w:color="auto"/>
              <w:right w:val="single" w:sz="4" w:space="0" w:color="auto"/>
            </w:tcBorders>
          </w:tcPr>
          <w:p w:rsidR="00895894" w:rsidRDefault="00895894">
            <w:pPr>
              <w:jc w:val="center"/>
            </w:pPr>
          </w:p>
        </w:tc>
        <w:tc>
          <w:tcPr>
            <w:tcW w:w="4826" w:type="dxa"/>
            <w:tcBorders>
              <w:top w:val="single" w:sz="4" w:space="0" w:color="auto"/>
              <w:left w:val="single" w:sz="4" w:space="0" w:color="auto"/>
              <w:bottom w:val="single" w:sz="4" w:space="0" w:color="auto"/>
              <w:right w:val="single" w:sz="4" w:space="0" w:color="auto"/>
            </w:tcBorders>
          </w:tcPr>
          <w:p w:rsidR="00895894" w:rsidRDefault="00895894">
            <w:pPr>
              <w:jc w:val="center"/>
            </w:pPr>
          </w:p>
        </w:tc>
      </w:tr>
      <w:tr w:rsidR="00895894" w:rsidTr="00895894">
        <w:tc>
          <w:tcPr>
            <w:tcW w:w="4246" w:type="dxa"/>
            <w:tcBorders>
              <w:top w:val="single" w:sz="4" w:space="0" w:color="auto"/>
              <w:left w:val="single" w:sz="4" w:space="0" w:color="auto"/>
              <w:bottom w:val="single" w:sz="4" w:space="0" w:color="auto"/>
              <w:right w:val="single" w:sz="4" w:space="0" w:color="auto"/>
            </w:tcBorders>
          </w:tcPr>
          <w:p w:rsidR="00895894" w:rsidRDefault="00895894">
            <w:pPr>
              <w:jc w:val="center"/>
              <w:rPr>
                <w:b/>
              </w:rPr>
            </w:pPr>
          </w:p>
        </w:tc>
        <w:tc>
          <w:tcPr>
            <w:tcW w:w="4826" w:type="dxa"/>
            <w:tcBorders>
              <w:top w:val="single" w:sz="4" w:space="0" w:color="auto"/>
              <w:left w:val="single" w:sz="4" w:space="0" w:color="auto"/>
              <w:bottom w:val="single" w:sz="4" w:space="0" w:color="auto"/>
              <w:right w:val="single" w:sz="4" w:space="0" w:color="auto"/>
            </w:tcBorders>
          </w:tcPr>
          <w:p w:rsidR="00895894" w:rsidRDefault="00895894">
            <w:pPr>
              <w:jc w:val="center"/>
              <w:rPr>
                <w:b/>
              </w:rPr>
            </w:pPr>
          </w:p>
        </w:tc>
      </w:tr>
      <w:tr w:rsidR="00895894" w:rsidTr="00895894">
        <w:tc>
          <w:tcPr>
            <w:tcW w:w="4246" w:type="dxa"/>
            <w:tcBorders>
              <w:top w:val="single" w:sz="4" w:space="0" w:color="auto"/>
              <w:left w:val="single" w:sz="4" w:space="0" w:color="auto"/>
              <w:bottom w:val="single" w:sz="4" w:space="0" w:color="auto"/>
              <w:right w:val="single" w:sz="4" w:space="0" w:color="auto"/>
            </w:tcBorders>
          </w:tcPr>
          <w:p w:rsidR="00895894" w:rsidRDefault="00895894">
            <w:pPr>
              <w:jc w:val="center"/>
              <w:rPr>
                <w:b/>
              </w:rPr>
            </w:pPr>
          </w:p>
        </w:tc>
        <w:tc>
          <w:tcPr>
            <w:tcW w:w="4826" w:type="dxa"/>
            <w:tcBorders>
              <w:top w:val="single" w:sz="4" w:space="0" w:color="auto"/>
              <w:left w:val="single" w:sz="4" w:space="0" w:color="auto"/>
              <w:bottom w:val="single" w:sz="4" w:space="0" w:color="auto"/>
              <w:right w:val="single" w:sz="4" w:space="0" w:color="auto"/>
            </w:tcBorders>
          </w:tcPr>
          <w:p w:rsidR="00895894" w:rsidRDefault="00895894">
            <w:pPr>
              <w:jc w:val="center"/>
              <w:rPr>
                <w:b/>
              </w:rPr>
            </w:pPr>
          </w:p>
        </w:tc>
      </w:tr>
      <w:tr w:rsidR="00895894" w:rsidTr="00895894">
        <w:tc>
          <w:tcPr>
            <w:tcW w:w="9072" w:type="dxa"/>
            <w:gridSpan w:val="2"/>
            <w:tcBorders>
              <w:top w:val="single" w:sz="4" w:space="0" w:color="auto"/>
              <w:left w:val="single" w:sz="4" w:space="0" w:color="auto"/>
              <w:bottom w:val="single" w:sz="4" w:space="0" w:color="auto"/>
              <w:right w:val="single" w:sz="4" w:space="0" w:color="auto"/>
            </w:tcBorders>
            <w:hideMark/>
          </w:tcPr>
          <w:p w:rsidR="00895894" w:rsidRDefault="00895894">
            <w:pPr>
              <w:jc w:val="center"/>
              <w:rPr>
                <w:b/>
              </w:rPr>
            </w:pPr>
            <w:r>
              <w:rPr>
                <w:b/>
              </w:rPr>
              <w:t xml:space="preserve">Resmi Gazetede Yayımlanma </w:t>
            </w:r>
          </w:p>
        </w:tc>
      </w:tr>
      <w:tr w:rsidR="00895894" w:rsidTr="00895894">
        <w:tc>
          <w:tcPr>
            <w:tcW w:w="4246" w:type="dxa"/>
            <w:tcBorders>
              <w:top w:val="single" w:sz="4" w:space="0" w:color="auto"/>
              <w:left w:val="single" w:sz="4" w:space="0" w:color="auto"/>
              <w:bottom w:val="single" w:sz="4" w:space="0" w:color="auto"/>
              <w:right w:val="single" w:sz="4" w:space="0" w:color="auto"/>
            </w:tcBorders>
            <w:hideMark/>
          </w:tcPr>
          <w:p w:rsidR="00895894" w:rsidRDefault="00895894">
            <w:pPr>
              <w:jc w:val="center"/>
              <w:rPr>
                <w:b/>
              </w:rPr>
            </w:pPr>
            <w:r>
              <w:rPr>
                <w:b/>
              </w:rPr>
              <w:t>Tarihi</w:t>
            </w:r>
          </w:p>
        </w:tc>
        <w:tc>
          <w:tcPr>
            <w:tcW w:w="4826" w:type="dxa"/>
            <w:tcBorders>
              <w:top w:val="single" w:sz="4" w:space="0" w:color="auto"/>
              <w:left w:val="single" w:sz="4" w:space="0" w:color="auto"/>
              <w:bottom w:val="single" w:sz="4" w:space="0" w:color="auto"/>
              <w:right w:val="single" w:sz="4" w:space="0" w:color="auto"/>
            </w:tcBorders>
            <w:hideMark/>
          </w:tcPr>
          <w:p w:rsidR="00895894" w:rsidRDefault="00895894">
            <w:pPr>
              <w:jc w:val="center"/>
              <w:rPr>
                <w:b/>
              </w:rPr>
            </w:pPr>
            <w:r>
              <w:rPr>
                <w:b/>
              </w:rPr>
              <w:t>Sayısı</w:t>
            </w:r>
          </w:p>
        </w:tc>
      </w:tr>
      <w:tr w:rsidR="00895894" w:rsidTr="00895894">
        <w:tc>
          <w:tcPr>
            <w:tcW w:w="4246" w:type="dxa"/>
            <w:tcBorders>
              <w:top w:val="single" w:sz="4" w:space="0" w:color="auto"/>
              <w:left w:val="single" w:sz="4" w:space="0" w:color="auto"/>
              <w:bottom w:val="single" w:sz="4" w:space="0" w:color="auto"/>
              <w:right w:val="single" w:sz="4" w:space="0" w:color="auto"/>
            </w:tcBorders>
          </w:tcPr>
          <w:p w:rsidR="00895894" w:rsidRDefault="00895894">
            <w:pPr>
              <w:jc w:val="center"/>
            </w:pPr>
          </w:p>
        </w:tc>
        <w:tc>
          <w:tcPr>
            <w:tcW w:w="4826" w:type="dxa"/>
            <w:tcBorders>
              <w:top w:val="single" w:sz="4" w:space="0" w:color="auto"/>
              <w:left w:val="single" w:sz="4" w:space="0" w:color="auto"/>
              <w:bottom w:val="single" w:sz="4" w:space="0" w:color="auto"/>
              <w:right w:val="single" w:sz="4" w:space="0" w:color="auto"/>
            </w:tcBorders>
          </w:tcPr>
          <w:p w:rsidR="00895894" w:rsidRDefault="00895894">
            <w:pPr>
              <w:jc w:val="center"/>
            </w:pPr>
          </w:p>
        </w:tc>
      </w:tr>
      <w:tr w:rsidR="00895894" w:rsidTr="00895894">
        <w:tc>
          <w:tcPr>
            <w:tcW w:w="4246" w:type="dxa"/>
            <w:tcBorders>
              <w:top w:val="single" w:sz="4" w:space="0" w:color="auto"/>
              <w:left w:val="single" w:sz="4" w:space="0" w:color="auto"/>
              <w:bottom w:val="single" w:sz="4" w:space="0" w:color="auto"/>
              <w:right w:val="single" w:sz="4" w:space="0" w:color="auto"/>
            </w:tcBorders>
          </w:tcPr>
          <w:p w:rsidR="00895894" w:rsidRDefault="00895894">
            <w:pPr>
              <w:jc w:val="center"/>
              <w:rPr>
                <w:b/>
                <w:sz w:val="24"/>
                <w:szCs w:val="24"/>
              </w:rPr>
            </w:pPr>
          </w:p>
        </w:tc>
        <w:tc>
          <w:tcPr>
            <w:tcW w:w="4826" w:type="dxa"/>
            <w:tcBorders>
              <w:top w:val="single" w:sz="4" w:space="0" w:color="auto"/>
              <w:left w:val="single" w:sz="4" w:space="0" w:color="auto"/>
              <w:bottom w:val="single" w:sz="4" w:space="0" w:color="auto"/>
              <w:right w:val="single" w:sz="4" w:space="0" w:color="auto"/>
            </w:tcBorders>
          </w:tcPr>
          <w:p w:rsidR="00895894" w:rsidRDefault="00895894">
            <w:pPr>
              <w:jc w:val="center"/>
              <w:rPr>
                <w:b/>
              </w:rPr>
            </w:pPr>
          </w:p>
        </w:tc>
      </w:tr>
      <w:tr w:rsidR="00895894" w:rsidTr="00895894">
        <w:tc>
          <w:tcPr>
            <w:tcW w:w="4246" w:type="dxa"/>
            <w:tcBorders>
              <w:top w:val="single" w:sz="4" w:space="0" w:color="auto"/>
              <w:left w:val="single" w:sz="4" w:space="0" w:color="auto"/>
              <w:bottom w:val="single" w:sz="4" w:space="0" w:color="auto"/>
              <w:right w:val="single" w:sz="4" w:space="0" w:color="auto"/>
            </w:tcBorders>
          </w:tcPr>
          <w:p w:rsidR="00895894" w:rsidRDefault="00895894">
            <w:pPr>
              <w:jc w:val="center"/>
              <w:rPr>
                <w:b/>
              </w:rPr>
            </w:pPr>
          </w:p>
        </w:tc>
        <w:tc>
          <w:tcPr>
            <w:tcW w:w="4826" w:type="dxa"/>
            <w:tcBorders>
              <w:top w:val="single" w:sz="4" w:space="0" w:color="auto"/>
              <w:left w:val="single" w:sz="4" w:space="0" w:color="auto"/>
              <w:bottom w:val="single" w:sz="4" w:space="0" w:color="auto"/>
              <w:right w:val="single" w:sz="4" w:space="0" w:color="auto"/>
            </w:tcBorders>
          </w:tcPr>
          <w:p w:rsidR="00895894" w:rsidRDefault="00895894">
            <w:pPr>
              <w:jc w:val="center"/>
              <w:rPr>
                <w:b/>
              </w:rPr>
            </w:pPr>
          </w:p>
        </w:tc>
      </w:tr>
    </w:tbl>
    <w:p w:rsidR="00895894" w:rsidRDefault="00895894">
      <w:pPr>
        <w:pBdr>
          <w:top w:val="nil"/>
          <w:left w:val="nil"/>
          <w:bottom w:val="nil"/>
          <w:right w:val="nil"/>
          <w:between w:val="nil"/>
        </w:pBdr>
        <w:spacing w:after="0"/>
        <w:jc w:val="both"/>
        <w:rPr>
          <w:rFonts w:ascii="Times New Roman" w:eastAsia="Times New Roman" w:hAnsi="Times New Roman" w:cs="Times New Roman"/>
          <w:color w:val="000000"/>
        </w:rPr>
      </w:pPr>
    </w:p>
    <w:sectPr w:rsidR="00895894" w:rsidSect="00DD57A6">
      <w:pgSz w:w="12240" w:h="15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AE"/>
    <w:rsid w:val="000A47FF"/>
    <w:rsid w:val="002D52FC"/>
    <w:rsid w:val="00345F8A"/>
    <w:rsid w:val="003E5779"/>
    <w:rsid w:val="00443435"/>
    <w:rsid w:val="004D7ED6"/>
    <w:rsid w:val="004F17A8"/>
    <w:rsid w:val="004F64D4"/>
    <w:rsid w:val="00594AAE"/>
    <w:rsid w:val="005A57EF"/>
    <w:rsid w:val="006B5EEC"/>
    <w:rsid w:val="00895894"/>
    <w:rsid w:val="008E5136"/>
    <w:rsid w:val="00B03CFA"/>
    <w:rsid w:val="00B86836"/>
    <w:rsid w:val="00D34A8C"/>
    <w:rsid w:val="00DD57A6"/>
    <w:rsid w:val="00E21371"/>
    <w:rsid w:val="00E60343"/>
    <w:rsid w:val="00E86845"/>
    <w:rsid w:val="00FA19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3170"/>
  <w15:docId w15:val="{5ECFE1B9-A87E-46D6-87C9-099EB287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tr-T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2C"/>
  </w:style>
  <w:style w:type="paragraph" w:styleId="Balk1">
    <w:name w:val="heading 1"/>
    <w:basedOn w:val="Normal"/>
    <w:next w:val="Normal"/>
    <w:rsid w:val="00DD57A6"/>
    <w:pPr>
      <w:keepNext/>
      <w:keepLines/>
      <w:spacing w:before="480" w:after="0"/>
      <w:outlineLvl w:val="0"/>
    </w:pPr>
    <w:rPr>
      <w:rFonts w:ascii="Calibri" w:eastAsia="Calibri" w:hAnsi="Calibri" w:cs="Calibri"/>
      <w:b/>
      <w:color w:val="335B8A"/>
      <w:sz w:val="32"/>
      <w:szCs w:val="32"/>
    </w:rPr>
  </w:style>
  <w:style w:type="paragraph" w:styleId="Balk2">
    <w:name w:val="heading 2"/>
    <w:basedOn w:val="Normal"/>
    <w:next w:val="Normal"/>
    <w:rsid w:val="00DD57A6"/>
    <w:pPr>
      <w:keepNext/>
      <w:keepLines/>
      <w:spacing w:before="200" w:after="0"/>
      <w:outlineLvl w:val="1"/>
    </w:pPr>
    <w:rPr>
      <w:rFonts w:ascii="Calibri" w:eastAsia="Calibri" w:hAnsi="Calibri" w:cs="Calibri"/>
      <w:b/>
      <w:color w:val="4F81BD"/>
      <w:sz w:val="32"/>
      <w:szCs w:val="32"/>
    </w:rPr>
  </w:style>
  <w:style w:type="paragraph" w:styleId="Balk3">
    <w:name w:val="heading 3"/>
    <w:basedOn w:val="Normal"/>
    <w:next w:val="Normal"/>
    <w:rsid w:val="00DD57A6"/>
    <w:pPr>
      <w:keepNext/>
      <w:keepLines/>
      <w:spacing w:before="200" w:after="0"/>
      <w:outlineLvl w:val="2"/>
    </w:pPr>
    <w:rPr>
      <w:rFonts w:ascii="Calibri" w:eastAsia="Calibri" w:hAnsi="Calibri" w:cs="Calibri"/>
      <w:b/>
      <w:color w:val="4F81BD"/>
      <w:sz w:val="28"/>
      <w:szCs w:val="28"/>
    </w:rPr>
  </w:style>
  <w:style w:type="paragraph" w:styleId="Balk4">
    <w:name w:val="heading 4"/>
    <w:basedOn w:val="Normal"/>
    <w:next w:val="Normal"/>
    <w:rsid w:val="00DD57A6"/>
    <w:pPr>
      <w:keepNext/>
      <w:keepLines/>
      <w:spacing w:before="200" w:after="0"/>
      <w:outlineLvl w:val="3"/>
    </w:pPr>
    <w:rPr>
      <w:rFonts w:ascii="Calibri" w:eastAsia="Calibri" w:hAnsi="Calibri" w:cs="Calibri"/>
      <w:b/>
      <w:color w:val="4F81BD"/>
    </w:rPr>
  </w:style>
  <w:style w:type="paragraph" w:styleId="Balk5">
    <w:name w:val="heading 5"/>
    <w:basedOn w:val="Normal"/>
    <w:next w:val="Normal"/>
    <w:rsid w:val="00DD57A6"/>
    <w:pPr>
      <w:keepNext/>
      <w:keepLines/>
      <w:spacing w:before="200" w:after="0"/>
      <w:outlineLvl w:val="4"/>
    </w:pPr>
    <w:rPr>
      <w:rFonts w:ascii="Calibri" w:eastAsia="Calibri" w:hAnsi="Calibri" w:cs="Calibri"/>
      <w:i/>
      <w:color w:val="4F81BD"/>
    </w:rPr>
  </w:style>
  <w:style w:type="paragraph" w:styleId="Balk6">
    <w:name w:val="heading 6"/>
    <w:basedOn w:val="Normal"/>
    <w:next w:val="Normal"/>
    <w:rsid w:val="00DD57A6"/>
    <w:pPr>
      <w:keepNext/>
      <w:keepLines/>
      <w:spacing w:before="200" w:after="0"/>
      <w:outlineLvl w:val="5"/>
    </w:pPr>
    <w:rPr>
      <w:rFonts w:ascii="Calibri" w:eastAsia="Calibri" w:hAnsi="Calibri" w:cs="Calibri"/>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DD57A6"/>
    <w:tblPr>
      <w:tblCellMar>
        <w:top w:w="0" w:type="dxa"/>
        <w:left w:w="0" w:type="dxa"/>
        <w:bottom w:w="0" w:type="dxa"/>
        <w:right w:w="0" w:type="dxa"/>
      </w:tblCellMar>
    </w:tblPr>
  </w:style>
  <w:style w:type="paragraph" w:styleId="KonuBal">
    <w:name w:val="Title"/>
    <w:basedOn w:val="Normal"/>
    <w:next w:val="GvdeMetni"/>
    <w:qFormat/>
    <w:rsid w:val="005B412C"/>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GvdeMetni">
    <w:name w:val="Body Text"/>
    <w:basedOn w:val="Normal"/>
    <w:qFormat/>
    <w:rsid w:val="005B412C"/>
    <w:pPr>
      <w:spacing w:before="180" w:after="180"/>
    </w:pPr>
  </w:style>
  <w:style w:type="paragraph" w:customStyle="1" w:styleId="FirstParagraph">
    <w:name w:val="First Paragraph"/>
    <w:basedOn w:val="GvdeMetni"/>
    <w:next w:val="GvdeMetni"/>
    <w:qFormat/>
    <w:rsid w:val="005B412C"/>
  </w:style>
  <w:style w:type="paragraph" w:customStyle="1" w:styleId="Compact">
    <w:name w:val="Compact"/>
    <w:basedOn w:val="GvdeMetni"/>
    <w:qFormat/>
    <w:rsid w:val="005B412C"/>
    <w:pPr>
      <w:spacing w:before="36" w:after="36"/>
    </w:pPr>
  </w:style>
  <w:style w:type="paragraph" w:styleId="Altyaz">
    <w:name w:val="Subtitle"/>
    <w:basedOn w:val="Normal"/>
    <w:next w:val="Normal"/>
    <w:rsid w:val="00DD57A6"/>
    <w:pPr>
      <w:keepNext/>
      <w:keepLines/>
      <w:spacing w:before="240" w:after="240"/>
      <w:jc w:val="center"/>
    </w:pPr>
    <w:rPr>
      <w:rFonts w:ascii="Calibri" w:eastAsia="Calibri" w:hAnsi="Calibri" w:cs="Calibri"/>
      <w:b/>
      <w:color w:val="335B8A"/>
      <w:sz w:val="30"/>
      <w:szCs w:val="30"/>
    </w:rPr>
  </w:style>
  <w:style w:type="paragraph" w:customStyle="1" w:styleId="Author">
    <w:name w:val="Author"/>
    <w:next w:val="GvdeMetni"/>
    <w:qFormat/>
    <w:rsid w:val="005B412C"/>
    <w:pPr>
      <w:keepNext/>
      <w:keepLines/>
      <w:jc w:val="center"/>
    </w:pPr>
  </w:style>
  <w:style w:type="paragraph" w:styleId="Tarih">
    <w:name w:val="Date"/>
    <w:next w:val="GvdeMetni"/>
    <w:qFormat/>
    <w:rsid w:val="005B412C"/>
    <w:pPr>
      <w:keepNext/>
      <w:keepLines/>
      <w:jc w:val="center"/>
    </w:pPr>
  </w:style>
  <w:style w:type="paragraph" w:customStyle="1" w:styleId="Abstract">
    <w:name w:val="Abstract"/>
    <w:basedOn w:val="Normal"/>
    <w:next w:val="GvdeMetni"/>
    <w:qFormat/>
    <w:rsid w:val="005B412C"/>
    <w:pPr>
      <w:keepNext/>
      <w:keepLines/>
      <w:spacing w:before="300" w:after="300"/>
    </w:pPr>
    <w:rPr>
      <w:sz w:val="20"/>
      <w:szCs w:val="20"/>
    </w:rPr>
  </w:style>
  <w:style w:type="paragraph" w:styleId="Kaynaka">
    <w:name w:val="Bibliography"/>
    <w:basedOn w:val="Normal"/>
    <w:qFormat/>
    <w:rsid w:val="005B412C"/>
  </w:style>
  <w:style w:type="paragraph" w:customStyle="1" w:styleId="Balk11">
    <w:name w:val="Başlık 11"/>
    <w:basedOn w:val="Normal"/>
    <w:next w:val="GvdeMetni"/>
    <w:uiPriority w:val="9"/>
    <w:qFormat/>
    <w:rsid w:val="005B412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Balk21">
    <w:name w:val="Başlık 21"/>
    <w:basedOn w:val="Normal"/>
    <w:next w:val="GvdeMetni"/>
    <w:uiPriority w:val="9"/>
    <w:unhideWhenUsed/>
    <w:qFormat/>
    <w:rsid w:val="005B412C"/>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Balk31">
    <w:name w:val="Başlık 31"/>
    <w:basedOn w:val="Normal"/>
    <w:next w:val="GvdeMetni"/>
    <w:uiPriority w:val="9"/>
    <w:unhideWhenUsed/>
    <w:qFormat/>
    <w:rsid w:val="005B412C"/>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Balk41">
    <w:name w:val="Başlık 41"/>
    <w:basedOn w:val="Normal"/>
    <w:next w:val="GvdeMetni"/>
    <w:uiPriority w:val="9"/>
    <w:unhideWhenUsed/>
    <w:qFormat/>
    <w:rsid w:val="005B412C"/>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Balk51">
    <w:name w:val="Başlık 51"/>
    <w:basedOn w:val="Normal"/>
    <w:next w:val="GvdeMetni"/>
    <w:uiPriority w:val="9"/>
    <w:unhideWhenUsed/>
    <w:qFormat/>
    <w:rsid w:val="005B412C"/>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Balk61">
    <w:name w:val="Başlık 61"/>
    <w:basedOn w:val="Normal"/>
    <w:next w:val="GvdeMetni"/>
    <w:uiPriority w:val="9"/>
    <w:unhideWhenUsed/>
    <w:qFormat/>
    <w:rsid w:val="005B412C"/>
    <w:pPr>
      <w:keepNext/>
      <w:keepLines/>
      <w:spacing w:before="200" w:after="0"/>
      <w:outlineLvl w:val="5"/>
    </w:pPr>
    <w:rPr>
      <w:rFonts w:asciiTheme="majorHAnsi" w:eastAsiaTheme="majorEastAsia" w:hAnsiTheme="majorHAnsi" w:cstheme="majorBidi"/>
      <w:color w:val="4F81BD" w:themeColor="accent1"/>
    </w:rPr>
  </w:style>
  <w:style w:type="paragraph" w:styleId="bekMetni">
    <w:name w:val="Block Text"/>
    <w:basedOn w:val="GvdeMetni"/>
    <w:next w:val="GvdeMetni"/>
    <w:uiPriority w:val="9"/>
    <w:unhideWhenUsed/>
    <w:qFormat/>
    <w:rsid w:val="005B412C"/>
    <w:pPr>
      <w:spacing w:before="100" w:after="100"/>
    </w:pPr>
    <w:rPr>
      <w:rFonts w:asciiTheme="majorHAnsi" w:eastAsiaTheme="majorEastAsia" w:hAnsiTheme="majorHAnsi" w:cstheme="majorBidi"/>
      <w:bCs/>
      <w:sz w:val="20"/>
      <w:szCs w:val="20"/>
    </w:rPr>
  </w:style>
  <w:style w:type="paragraph" w:customStyle="1" w:styleId="DipnotMetni1">
    <w:name w:val="Dipnot Metni1"/>
    <w:basedOn w:val="Normal"/>
    <w:uiPriority w:val="9"/>
    <w:unhideWhenUsed/>
    <w:qFormat/>
    <w:rsid w:val="005B412C"/>
  </w:style>
  <w:style w:type="paragraph" w:customStyle="1" w:styleId="DefinitionTerm">
    <w:name w:val="Definition Term"/>
    <w:basedOn w:val="Normal"/>
    <w:next w:val="Definition"/>
    <w:rsid w:val="005B412C"/>
    <w:pPr>
      <w:keepNext/>
      <w:keepLines/>
      <w:spacing w:after="0"/>
    </w:pPr>
    <w:rPr>
      <w:b/>
    </w:rPr>
  </w:style>
  <w:style w:type="paragraph" w:customStyle="1" w:styleId="Definition">
    <w:name w:val="Definition"/>
    <w:basedOn w:val="Normal"/>
    <w:rsid w:val="005B412C"/>
  </w:style>
  <w:style w:type="paragraph" w:customStyle="1" w:styleId="ResimYazs1">
    <w:name w:val="Resim Yazısı1"/>
    <w:basedOn w:val="Normal"/>
    <w:link w:val="GvdeMetniChar"/>
    <w:rsid w:val="005B412C"/>
    <w:pPr>
      <w:spacing w:after="120"/>
    </w:pPr>
    <w:rPr>
      <w:i/>
    </w:rPr>
  </w:style>
  <w:style w:type="paragraph" w:customStyle="1" w:styleId="TableCaption">
    <w:name w:val="Table Caption"/>
    <w:basedOn w:val="ResimYazs1"/>
    <w:rsid w:val="005B412C"/>
    <w:pPr>
      <w:keepNext/>
    </w:pPr>
  </w:style>
  <w:style w:type="paragraph" w:customStyle="1" w:styleId="ImageCaption">
    <w:name w:val="Image Caption"/>
    <w:basedOn w:val="ResimYazs1"/>
    <w:rsid w:val="005B412C"/>
  </w:style>
  <w:style w:type="paragraph" w:customStyle="1" w:styleId="Figure">
    <w:name w:val="Figure"/>
    <w:basedOn w:val="Normal"/>
    <w:rsid w:val="005B412C"/>
  </w:style>
  <w:style w:type="paragraph" w:customStyle="1" w:styleId="FigurewithCaption">
    <w:name w:val="Figure with Caption"/>
    <w:basedOn w:val="Figure"/>
    <w:rsid w:val="005B412C"/>
    <w:pPr>
      <w:keepNext/>
    </w:pPr>
  </w:style>
  <w:style w:type="character" w:customStyle="1" w:styleId="GvdeMetniChar">
    <w:name w:val="Gövde Metni Char"/>
    <w:basedOn w:val="VarsaylanParagrafYazTipi"/>
    <w:link w:val="ResimYazs1"/>
    <w:rsid w:val="005B412C"/>
  </w:style>
  <w:style w:type="character" w:customStyle="1" w:styleId="VerbatimChar">
    <w:name w:val="Verbatim Char"/>
    <w:basedOn w:val="GvdeMetniChar"/>
    <w:link w:val="SourceCode"/>
    <w:rsid w:val="005B412C"/>
    <w:rPr>
      <w:rFonts w:ascii="Consolas" w:hAnsi="Consolas"/>
      <w:sz w:val="22"/>
    </w:rPr>
  </w:style>
  <w:style w:type="character" w:customStyle="1" w:styleId="DipnotBavurusu1">
    <w:name w:val="Dipnot Başvurusu1"/>
    <w:basedOn w:val="GvdeMetniChar"/>
    <w:rsid w:val="005B412C"/>
    <w:rPr>
      <w:vertAlign w:val="superscript"/>
    </w:rPr>
  </w:style>
  <w:style w:type="character" w:styleId="Kpr">
    <w:name w:val="Hyperlink"/>
    <w:basedOn w:val="GvdeMetniChar"/>
    <w:rsid w:val="005B412C"/>
    <w:rPr>
      <w:color w:val="4F81BD" w:themeColor="accent1"/>
    </w:rPr>
  </w:style>
  <w:style w:type="paragraph" w:styleId="TBal">
    <w:name w:val="TOC Heading"/>
    <w:basedOn w:val="Balk11"/>
    <w:next w:val="GvdeMetni"/>
    <w:uiPriority w:val="39"/>
    <w:unhideWhenUsed/>
    <w:qFormat/>
    <w:rsid w:val="005B412C"/>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5B412C"/>
    <w:pPr>
      <w:wordWrap w:val="0"/>
    </w:pPr>
  </w:style>
  <w:style w:type="character" w:customStyle="1" w:styleId="KeywordTok">
    <w:name w:val="KeywordTok"/>
    <w:basedOn w:val="VerbatimChar"/>
    <w:rsid w:val="005B412C"/>
    <w:rPr>
      <w:rFonts w:ascii="Consolas" w:hAnsi="Consolas"/>
      <w:b/>
      <w:color w:val="007020"/>
      <w:sz w:val="22"/>
    </w:rPr>
  </w:style>
  <w:style w:type="character" w:customStyle="1" w:styleId="DataTypeTok">
    <w:name w:val="DataTypeTok"/>
    <w:basedOn w:val="VerbatimChar"/>
    <w:rsid w:val="005B412C"/>
    <w:rPr>
      <w:rFonts w:ascii="Consolas" w:hAnsi="Consolas"/>
      <w:color w:val="902000"/>
      <w:sz w:val="22"/>
    </w:rPr>
  </w:style>
  <w:style w:type="character" w:customStyle="1" w:styleId="DecValTok">
    <w:name w:val="DecValTok"/>
    <w:basedOn w:val="VerbatimChar"/>
    <w:rsid w:val="005B412C"/>
    <w:rPr>
      <w:rFonts w:ascii="Consolas" w:hAnsi="Consolas"/>
      <w:color w:val="40A070"/>
      <w:sz w:val="22"/>
    </w:rPr>
  </w:style>
  <w:style w:type="character" w:customStyle="1" w:styleId="BaseNTok">
    <w:name w:val="BaseNTok"/>
    <w:basedOn w:val="VerbatimChar"/>
    <w:rsid w:val="005B412C"/>
    <w:rPr>
      <w:rFonts w:ascii="Consolas" w:hAnsi="Consolas"/>
      <w:color w:val="40A070"/>
      <w:sz w:val="22"/>
    </w:rPr>
  </w:style>
  <w:style w:type="character" w:customStyle="1" w:styleId="FloatTok">
    <w:name w:val="FloatTok"/>
    <w:basedOn w:val="VerbatimChar"/>
    <w:rsid w:val="005B412C"/>
    <w:rPr>
      <w:rFonts w:ascii="Consolas" w:hAnsi="Consolas"/>
      <w:color w:val="40A070"/>
      <w:sz w:val="22"/>
    </w:rPr>
  </w:style>
  <w:style w:type="character" w:customStyle="1" w:styleId="ConstantTok">
    <w:name w:val="ConstantTok"/>
    <w:basedOn w:val="VerbatimChar"/>
    <w:rsid w:val="005B412C"/>
    <w:rPr>
      <w:rFonts w:ascii="Consolas" w:hAnsi="Consolas"/>
      <w:color w:val="880000"/>
      <w:sz w:val="22"/>
    </w:rPr>
  </w:style>
  <w:style w:type="character" w:customStyle="1" w:styleId="CharTok">
    <w:name w:val="CharTok"/>
    <w:basedOn w:val="VerbatimChar"/>
    <w:rsid w:val="005B412C"/>
    <w:rPr>
      <w:rFonts w:ascii="Consolas" w:hAnsi="Consolas"/>
      <w:color w:val="4070A0"/>
      <w:sz w:val="22"/>
    </w:rPr>
  </w:style>
  <w:style w:type="character" w:customStyle="1" w:styleId="SpecialCharTok">
    <w:name w:val="SpecialCharTok"/>
    <w:basedOn w:val="VerbatimChar"/>
    <w:rsid w:val="005B412C"/>
    <w:rPr>
      <w:rFonts w:ascii="Consolas" w:hAnsi="Consolas"/>
      <w:color w:val="4070A0"/>
      <w:sz w:val="22"/>
    </w:rPr>
  </w:style>
  <w:style w:type="character" w:customStyle="1" w:styleId="StringTok">
    <w:name w:val="StringTok"/>
    <w:basedOn w:val="VerbatimChar"/>
    <w:rsid w:val="005B412C"/>
    <w:rPr>
      <w:rFonts w:ascii="Consolas" w:hAnsi="Consolas"/>
      <w:color w:val="4070A0"/>
      <w:sz w:val="22"/>
    </w:rPr>
  </w:style>
  <w:style w:type="character" w:customStyle="1" w:styleId="VerbatimStringTok">
    <w:name w:val="VerbatimStringTok"/>
    <w:basedOn w:val="VerbatimChar"/>
    <w:rsid w:val="005B412C"/>
    <w:rPr>
      <w:rFonts w:ascii="Consolas" w:hAnsi="Consolas"/>
      <w:color w:val="4070A0"/>
      <w:sz w:val="22"/>
    </w:rPr>
  </w:style>
  <w:style w:type="character" w:customStyle="1" w:styleId="SpecialStringTok">
    <w:name w:val="SpecialStringTok"/>
    <w:basedOn w:val="VerbatimChar"/>
    <w:rsid w:val="005B412C"/>
    <w:rPr>
      <w:rFonts w:ascii="Consolas" w:hAnsi="Consolas"/>
      <w:color w:val="BB6688"/>
      <w:sz w:val="22"/>
    </w:rPr>
  </w:style>
  <w:style w:type="character" w:customStyle="1" w:styleId="ImportTok">
    <w:name w:val="ImportTok"/>
    <w:basedOn w:val="VerbatimChar"/>
    <w:rsid w:val="005B412C"/>
    <w:rPr>
      <w:rFonts w:ascii="Consolas" w:hAnsi="Consolas"/>
      <w:sz w:val="22"/>
    </w:rPr>
  </w:style>
  <w:style w:type="character" w:customStyle="1" w:styleId="CommentTok">
    <w:name w:val="CommentTok"/>
    <w:basedOn w:val="VerbatimChar"/>
    <w:rsid w:val="005B412C"/>
    <w:rPr>
      <w:rFonts w:ascii="Consolas" w:hAnsi="Consolas"/>
      <w:i/>
      <w:color w:val="60A0B0"/>
      <w:sz w:val="22"/>
    </w:rPr>
  </w:style>
  <w:style w:type="character" w:customStyle="1" w:styleId="DocumentationTok">
    <w:name w:val="DocumentationTok"/>
    <w:basedOn w:val="VerbatimChar"/>
    <w:rsid w:val="005B412C"/>
    <w:rPr>
      <w:rFonts w:ascii="Consolas" w:hAnsi="Consolas"/>
      <w:i/>
      <w:color w:val="BA2121"/>
      <w:sz w:val="22"/>
    </w:rPr>
  </w:style>
  <w:style w:type="character" w:customStyle="1" w:styleId="AnnotationTok">
    <w:name w:val="AnnotationTok"/>
    <w:basedOn w:val="VerbatimChar"/>
    <w:rsid w:val="005B412C"/>
    <w:rPr>
      <w:rFonts w:ascii="Consolas" w:hAnsi="Consolas"/>
      <w:b/>
      <w:i/>
      <w:color w:val="60A0B0"/>
      <w:sz w:val="22"/>
    </w:rPr>
  </w:style>
  <w:style w:type="character" w:customStyle="1" w:styleId="CommentVarTok">
    <w:name w:val="CommentVarTok"/>
    <w:basedOn w:val="VerbatimChar"/>
    <w:rsid w:val="005B412C"/>
    <w:rPr>
      <w:rFonts w:ascii="Consolas" w:hAnsi="Consolas"/>
      <w:b/>
      <w:i/>
      <w:color w:val="60A0B0"/>
      <w:sz w:val="22"/>
    </w:rPr>
  </w:style>
  <w:style w:type="character" w:customStyle="1" w:styleId="OtherTok">
    <w:name w:val="OtherTok"/>
    <w:basedOn w:val="VerbatimChar"/>
    <w:rsid w:val="005B412C"/>
    <w:rPr>
      <w:rFonts w:ascii="Consolas" w:hAnsi="Consolas"/>
      <w:color w:val="007020"/>
      <w:sz w:val="22"/>
    </w:rPr>
  </w:style>
  <w:style w:type="character" w:customStyle="1" w:styleId="FunctionTok">
    <w:name w:val="FunctionTok"/>
    <w:basedOn w:val="VerbatimChar"/>
    <w:rsid w:val="005B412C"/>
    <w:rPr>
      <w:rFonts w:ascii="Consolas" w:hAnsi="Consolas"/>
      <w:color w:val="06287E"/>
      <w:sz w:val="22"/>
    </w:rPr>
  </w:style>
  <w:style w:type="character" w:customStyle="1" w:styleId="VariableTok">
    <w:name w:val="VariableTok"/>
    <w:basedOn w:val="VerbatimChar"/>
    <w:rsid w:val="005B412C"/>
    <w:rPr>
      <w:rFonts w:ascii="Consolas" w:hAnsi="Consolas"/>
      <w:color w:val="19177C"/>
      <w:sz w:val="22"/>
    </w:rPr>
  </w:style>
  <w:style w:type="character" w:customStyle="1" w:styleId="ControlFlowTok">
    <w:name w:val="ControlFlowTok"/>
    <w:basedOn w:val="VerbatimChar"/>
    <w:rsid w:val="005B412C"/>
    <w:rPr>
      <w:rFonts w:ascii="Consolas" w:hAnsi="Consolas"/>
      <w:b/>
      <w:color w:val="007020"/>
      <w:sz w:val="22"/>
    </w:rPr>
  </w:style>
  <w:style w:type="character" w:customStyle="1" w:styleId="OperatorTok">
    <w:name w:val="OperatorTok"/>
    <w:basedOn w:val="VerbatimChar"/>
    <w:rsid w:val="005B412C"/>
    <w:rPr>
      <w:rFonts w:ascii="Consolas" w:hAnsi="Consolas"/>
      <w:color w:val="666666"/>
      <w:sz w:val="22"/>
    </w:rPr>
  </w:style>
  <w:style w:type="character" w:customStyle="1" w:styleId="BuiltInTok">
    <w:name w:val="BuiltInTok"/>
    <w:basedOn w:val="VerbatimChar"/>
    <w:rsid w:val="005B412C"/>
    <w:rPr>
      <w:rFonts w:ascii="Consolas" w:hAnsi="Consolas"/>
      <w:sz w:val="22"/>
    </w:rPr>
  </w:style>
  <w:style w:type="character" w:customStyle="1" w:styleId="ExtensionTok">
    <w:name w:val="ExtensionTok"/>
    <w:basedOn w:val="VerbatimChar"/>
    <w:rsid w:val="005B412C"/>
    <w:rPr>
      <w:rFonts w:ascii="Consolas" w:hAnsi="Consolas"/>
      <w:sz w:val="22"/>
    </w:rPr>
  </w:style>
  <w:style w:type="character" w:customStyle="1" w:styleId="PreprocessorTok">
    <w:name w:val="PreprocessorTok"/>
    <w:basedOn w:val="VerbatimChar"/>
    <w:rsid w:val="005B412C"/>
    <w:rPr>
      <w:rFonts w:ascii="Consolas" w:hAnsi="Consolas"/>
      <w:color w:val="BC7A00"/>
      <w:sz w:val="22"/>
    </w:rPr>
  </w:style>
  <w:style w:type="character" w:customStyle="1" w:styleId="AttributeTok">
    <w:name w:val="AttributeTok"/>
    <w:basedOn w:val="VerbatimChar"/>
    <w:rsid w:val="005B412C"/>
    <w:rPr>
      <w:rFonts w:ascii="Consolas" w:hAnsi="Consolas"/>
      <w:color w:val="7D9029"/>
      <w:sz w:val="22"/>
    </w:rPr>
  </w:style>
  <w:style w:type="character" w:customStyle="1" w:styleId="RegionMarkerTok">
    <w:name w:val="RegionMarkerTok"/>
    <w:basedOn w:val="VerbatimChar"/>
    <w:rsid w:val="005B412C"/>
    <w:rPr>
      <w:rFonts w:ascii="Consolas" w:hAnsi="Consolas"/>
      <w:sz w:val="22"/>
    </w:rPr>
  </w:style>
  <w:style w:type="character" w:customStyle="1" w:styleId="InformationTok">
    <w:name w:val="InformationTok"/>
    <w:basedOn w:val="VerbatimChar"/>
    <w:rsid w:val="005B412C"/>
    <w:rPr>
      <w:rFonts w:ascii="Consolas" w:hAnsi="Consolas"/>
      <w:b/>
      <w:i/>
      <w:color w:val="60A0B0"/>
      <w:sz w:val="22"/>
    </w:rPr>
  </w:style>
  <w:style w:type="character" w:customStyle="1" w:styleId="WarningTok">
    <w:name w:val="WarningTok"/>
    <w:basedOn w:val="VerbatimChar"/>
    <w:rsid w:val="005B412C"/>
    <w:rPr>
      <w:rFonts w:ascii="Consolas" w:hAnsi="Consolas"/>
      <w:b/>
      <w:i/>
      <w:color w:val="60A0B0"/>
      <w:sz w:val="22"/>
    </w:rPr>
  </w:style>
  <w:style w:type="character" w:customStyle="1" w:styleId="AlertTok">
    <w:name w:val="AlertTok"/>
    <w:basedOn w:val="VerbatimChar"/>
    <w:rsid w:val="005B412C"/>
    <w:rPr>
      <w:rFonts w:ascii="Consolas" w:hAnsi="Consolas"/>
      <w:b/>
      <w:color w:val="FF0000"/>
      <w:sz w:val="22"/>
    </w:rPr>
  </w:style>
  <w:style w:type="character" w:customStyle="1" w:styleId="ErrorTok">
    <w:name w:val="ErrorTok"/>
    <w:basedOn w:val="VerbatimChar"/>
    <w:rsid w:val="005B412C"/>
    <w:rPr>
      <w:rFonts w:ascii="Consolas" w:hAnsi="Consolas"/>
      <w:b/>
      <w:color w:val="FF0000"/>
      <w:sz w:val="22"/>
    </w:rPr>
  </w:style>
  <w:style w:type="character" w:customStyle="1" w:styleId="NormalTok">
    <w:name w:val="NormalTok"/>
    <w:basedOn w:val="VerbatimChar"/>
    <w:rsid w:val="005B412C"/>
    <w:rPr>
      <w:rFonts w:ascii="Consolas" w:hAnsi="Consolas"/>
      <w:sz w:val="22"/>
    </w:rPr>
  </w:style>
  <w:style w:type="paragraph" w:styleId="ListeParagraf">
    <w:name w:val="List Paragraph"/>
    <w:basedOn w:val="Normal"/>
    <w:rsid w:val="002204BF"/>
    <w:pPr>
      <w:ind w:left="720"/>
      <w:contextualSpacing/>
    </w:pPr>
  </w:style>
  <w:style w:type="table" w:styleId="TabloKlavuzu">
    <w:name w:val="Table Grid"/>
    <w:basedOn w:val="NormalTablo"/>
    <w:uiPriority w:val="39"/>
    <w:rsid w:val="00895894"/>
    <w:pPr>
      <w:spacing w:after="0"/>
    </w:pPr>
    <w:rPr>
      <w:rFonts w:asciiTheme="minorHAnsi" w:eastAsiaTheme="minorHAnsi" w:hAnsiTheme="minorHAnsi" w:cstheme="minorBidi"/>
      <w:sz w:val="22"/>
      <w:szCs w:val="22"/>
      <w:lang w:val="tr-T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2159</Words>
  <Characters>12309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new</cp:lastModifiedBy>
  <cp:revision>4</cp:revision>
  <dcterms:created xsi:type="dcterms:W3CDTF">2019-08-28T06:50:00Z</dcterms:created>
  <dcterms:modified xsi:type="dcterms:W3CDTF">2019-09-06T13:42:00Z</dcterms:modified>
</cp:coreProperties>
</file>