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C7" w:rsidRDefault="00CC27C7" w:rsidP="00CC27C7">
      <w:pPr>
        <w:spacing w:after="240" w:line="300" w:lineRule="atLeast"/>
        <w:rPr>
          <w:rFonts w:ascii="Arial" w:hAnsi="Arial" w:cs="Arial"/>
          <w:color w:val="1C283D"/>
          <w:sz w:val="15"/>
          <w:szCs w:val="15"/>
        </w:rPr>
      </w:pPr>
      <w:bookmarkStart w:id="0" w:name="_GoBack"/>
      <w:bookmarkEnd w:id="0"/>
      <w:r>
        <w:rPr>
          <w:rFonts w:ascii="Arial" w:hAnsi="Arial" w:cs="Arial"/>
          <w:color w:val="1C283D"/>
          <w:sz w:val="15"/>
          <w:szCs w:val="15"/>
        </w:rPr>
        <w:t>Resmi Gazete Tarihi: 24.04.2010 Resmi Gazete Sayısı: 27561</w:t>
      </w:r>
    </w:p>
    <w:p w:rsidR="00CC27C7" w:rsidRDefault="00CC27C7" w:rsidP="00CC27C7">
      <w:pPr>
        <w:spacing w:line="240" w:lineRule="atLeast"/>
        <w:ind w:firstLine="567"/>
        <w:jc w:val="center"/>
        <w:rPr>
          <w:color w:val="1C283D"/>
        </w:rPr>
      </w:pPr>
      <w:r>
        <w:rPr>
          <w:rFonts w:ascii="Calibri" w:hAnsi="Calibri"/>
          <w:b/>
          <w:bCs/>
          <w:color w:val="1C283D"/>
          <w:sz w:val="22"/>
          <w:szCs w:val="22"/>
        </w:rPr>
        <w:t>YÜKSEKÖĞRETİM KURUMLARINDA ÖNLİSANS VE LİSANS DÜZEYİNDEKİ PROGRAMLAR ARASINDA GEÇİŞ, ÇİFT ANADAL, YAN DAL İLE KURUMLAR ARASI KREDİ TRANSFERİ YAPILMASI ESASLARINA İLİŞKİN YÖNETMELİK</w:t>
      </w:r>
    </w:p>
    <w:p w:rsidR="00CC27C7" w:rsidRDefault="00CC27C7" w:rsidP="00CC27C7">
      <w:pPr>
        <w:spacing w:line="240" w:lineRule="atLeast"/>
        <w:ind w:firstLine="567"/>
        <w:jc w:val="both"/>
        <w:rPr>
          <w:color w:val="1C283D"/>
        </w:rPr>
      </w:pPr>
      <w:r>
        <w:rPr>
          <w:rFonts w:ascii="Calibri" w:hAnsi="Calibri"/>
          <w:b/>
          <w:bCs/>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BİRİNCİ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Amaç, Kapsam, Dayanak ve Tanımlar</w:t>
      </w:r>
    </w:p>
    <w:p w:rsidR="00CC27C7" w:rsidRDefault="00CC27C7" w:rsidP="00CC27C7">
      <w:pPr>
        <w:spacing w:line="240" w:lineRule="atLeast"/>
        <w:ind w:firstLine="567"/>
        <w:jc w:val="both"/>
        <w:rPr>
          <w:color w:val="1C283D"/>
        </w:rPr>
      </w:pPr>
      <w:r>
        <w:rPr>
          <w:rFonts w:ascii="Calibri" w:hAnsi="Calibri"/>
          <w:b/>
          <w:bCs/>
          <w:color w:val="1C283D"/>
          <w:sz w:val="22"/>
          <w:szCs w:val="22"/>
        </w:rPr>
        <w:t>Amaç</w:t>
      </w:r>
    </w:p>
    <w:p w:rsidR="00CC27C7" w:rsidRDefault="00CC27C7" w:rsidP="00CC27C7">
      <w:pPr>
        <w:spacing w:line="240" w:lineRule="atLeast"/>
        <w:ind w:firstLine="567"/>
        <w:jc w:val="both"/>
        <w:rPr>
          <w:color w:val="1C283D"/>
        </w:rPr>
      </w:pPr>
      <w:proofErr w:type="gramStart"/>
      <w:r>
        <w:rPr>
          <w:rFonts w:ascii="Calibri" w:hAnsi="Calibri"/>
          <w:b/>
          <w:bCs/>
          <w:color w:val="1C283D"/>
          <w:sz w:val="22"/>
          <w:szCs w:val="22"/>
        </w:rPr>
        <w:t>MADDE 1</w:t>
      </w:r>
      <w:r>
        <w:rPr>
          <w:rFonts w:ascii="Calibri" w:hAnsi="Calibri"/>
          <w:color w:val="1C283D"/>
          <w:sz w:val="22"/>
          <w:szCs w:val="22"/>
        </w:rPr>
        <w:t xml:space="preserve"> – (1) Bu Yönetmeliğin amacı, </w:t>
      </w:r>
      <w:proofErr w:type="spellStart"/>
      <w:r>
        <w:rPr>
          <w:rFonts w:ascii="Calibri" w:hAnsi="Calibri"/>
          <w:color w:val="1C283D"/>
          <w:sz w:val="22"/>
          <w:szCs w:val="22"/>
        </w:rPr>
        <w:t>önlisans</w:t>
      </w:r>
      <w:proofErr w:type="spellEnd"/>
      <w:r>
        <w:rPr>
          <w:rFonts w:ascii="Calibri" w:hAnsi="Calibri"/>
          <w:color w:val="1C283D"/>
          <w:sz w:val="22"/>
          <w:szCs w:val="22"/>
        </w:rPr>
        <w:t xml:space="preserve"> ve lisans düzeyindeki öğrencilerin yükseköğretim kurumlarındaki fakülte, yüksekokul, konservatuvar veya meslek yüksekokulu bünyesinde yer alan diploma programları arasında veya diğer yükseköğretim kurumlarındaki eşdeğer diploma programlarına yatay geçiş ile çift </w:t>
      </w:r>
      <w:proofErr w:type="spellStart"/>
      <w:r>
        <w:rPr>
          <w:rFonts w:ascii="Calibri" w:hAnsi="Calibri"/>
          <w:color w:val="1C283D"/>
          <w:sz w:val="22"/>
          <w:szCs w:val="22"/>
        </w:rPr>
        <w:t>anadal</w:t>
      </w:r>
      <w:proofErr w:type="spellEnd"/>
      <w:r>
        <w:rPr>
          <w:rFonts w:ascii="Calibri" w:hAnsi="Calibri"/>
          <w:color w:val="1C283D"/>
          <w:sz w:val="22"/>
          <w:szCs w:val="22"/>
        </w:rPr>
        <w:t xml:space="preserve">, </w:t>
      </w:r>
      <w:proofErr w:type="spellStart"/>
      <w:r>
        <w:rPr>
          <w:rFonts w:ascii="Calibri" w:hAnsi="Calibri"/>
          <w:color w:val="1C283D"/>
          <w:sz w:val="22"/>
          <w:szCs w:val="22"/>
        </w:rPr>
        <w:t>yandal</w:t>
      </w:r>
      <w:proofErr w:type="spellEnd"/>
      <w:r>
        <w:rPr>
          <w:rFonts w:ascii="Calibri" w:hAnsi="Calibri"/>
          <w:color w:val="1C283D"/>
          <w:sz w:val="22"/>
          <w:szCs w:val="22"/>
        </w:rPr>
        <w:t xml:space="preserve"> ve yükseköğretim kurumları arasında kredi aktarımında uyulması gereken usul ve esasları  düzenlemektir.</w:t>
      </w:r>
      <w:proofErr w:type="gramEnd"/>
    </w:p>
    <w:p w:rsidR="00CC27C7" w:rsidRDefault="00CC27C7" w:rsidP="00CC27C7">
      <w:pPr>
        <w:spacing w:line="240" w:lineRule="atLeast"/>
        <w:ind w:firstLine="567"/>
        <w:jc w:val="both"/>
        <w:rPr>
          <w:color w:val="1C283D"/>
        </w:rPr>
      </w:pPr>
      <w:r>
        <w:rPr>
          <w:rFonts w:ascii="Calibri" w:hAnsi="Calibri"/>
          <w:b/>
          <w:bCs/>
          <w:color w:val="1C283D"/>
          <w:sz w:val="22"/>
          <w:szCs w:val="22"/>
        </w:rPr>
        <w:t>Kapsam</w:t>
      </w:r>
    </w:p>
    <w:p w:rsidR="00CC27C7" w:rsidRDefault="00CC27C7" w:rsidP="00CC27C7">
      <w:pPr>
        <w:spacing w:line="240" w:lineRule="atLeast"/>
        <w:ind w:firstLine="567"/>
        <w:jc w:val="both"/>
        <w:rPr>
          <w:color w:val="1C283D"/>
        </w:rPr>
      </w:pPr>
      <w:r>
        <w:rPr>
          <w:rFonts w:ascii="Calibri" w:hAnsi="Calibri"/>
          <w:b/>
          <w:bCs/>
          <w:color w:val="1C283D"/>
          <w:sz w:val="22"/>
          <w:szCs w:val="22"/>
        </w:rPr>
        <w:t>MADDE 2</w:t>
      </w:r>
      <w:r>
        <w:rPr>
          <w:rFonts w:ascii="Calibri" w:hAnsi="Calibri"/>
          <w:color w:val="1C283D"/>
          <w:sz w:val="22"/>
          <w:szCs w:val="22"/>
        </w:rPr>
        <w:t xml:space="preserve"> – (1) Bu Yönetmelik, yükseköğretim kurumlarındaki </w:t>
      </w:r>
      <w:proofErr w:type="spellStart"/>
      <w:r>
        <w:rPr>
          <w:rFonts w:ascii="Calibri" w:hAnsi="Calibri"/>
          <w:color w:val="1C283D"/>
          <w:sz w:val="22"/>
          <w:szCs w:val="22"/>
        </w:rPr>
        <w:t>önlisans</w:t>
      </w:r>
      <w:proofErr w:type="spellEnd"/>
      <w:r>
        <w:rPr>
          <w:rFonts w:ascii="Calibri" w:hAnsi="Calibri"/>
          <w:color w:val="1C283D"/>
          <w:sz w:val="22"/>
          <w:szCs w:val="22"/>
        </w:rPr>
        <w:t xml:space="preserve"> ve lisans düzeyindeki diploma programları arasındaki her türlü yatay geçişleri, çift </w:t>
      </w:r>
      <w:proofErr w:type="spellStart"/>
      <w:r>
        <w:rPr>
          <w:rFonts w:ascii="Calibri" w:hAnsi="Calibri"/>
          <w:color w:val="1C283D"/>
          <w:sz w:val="22"/>
          <w:szCs w:val="22"/>
        </w:rPr>
        <w:t>anadal</w:t>
      </w:r>
      <w:proofErr w:type="spellEnd"/>
      <w:r>
        <w:rPr>
          <w:rFonts w:ascii="Calibri" w:hAnsi="Calibri"/>
          <w:color w:val="1C283D"/>
          <w:sz w:val="22"/>
          <w:szCs w:val="22"/>
        </w:rPr>
        <w:t xml:space="preserve">,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programları ve kredi aktarımına ilişkin hükümleri kapsar.</w:t>
      </w:r>
    </w:p>
    <w:p w:rsidR="00CC27C7" w:rsidRDefault="00CC27C7" w:rsidP="00CC27C7">
      <w:pPr>
        <w:spacing w:line="240" w:lineRule="atLeast"/>
        <w:ind w:firstLine="567"/>
        <w:jc w:val="both"/>
        <w:rPr>
          <w:color w:val="1C283D"/>
        </w:rPr>
      </w:pPr>
      <w:r>
        <w:rPr>
          <w:rFonts w:ascii="Calibri" w:hAnsi="Calibri"/>
          <w:b/>
          <w:bCs/>
          <w:color w:val="1C283D"/>
          <w:sz w:val="22"/>
          <w:szCs w:val="22"/>
        </w:rPr>
        <w:t>Dayanak</w:t>
      </w:r>
    </w:p>
    <w:p w:rsidR="00CC27C7" w:rsidRDefault="00CC27C7" w:rsidP="00CC27C7">
      <w:pPr>
        <w:spacing w:line="240" w:lineRule="atLeast"/>
        <w:ind w:firstLine="567"/>
        <w:jc w:val="both"/>
        <w:rPr>
          <w:color w:val="1C283D"/>
        </w:rPr>
      </w:pPr>
      <w:r>
        <w:rPr>
          <w:rFonts w:ascii="Calibri" w:hAnsi="Calibri"/>
          <w:b/>
          <w:bCs/>
          <w:color w:val="1C283D"/>
          <w:sz w:val="22"/>
          <w:szCs w:val="22"/>
        </w:rPr>
        <w:t>MADDE 3</w:t>
      </w:r>
      <w:r>
        <w:rPr>
          <w:rFonts w:ascii="Calibri" w:hAnsi="Calibri"/>
          <w:color w:val="1C283D"/>
          <w:sz w:val="22"/>
          <w:szCs w:val="22"/>
        </w:rPr>
        <w:t xml:space="preserve"> – (1) Bu Yönetmelik, 2547 sayılı Yükseköğretim Kanununun 7 </w:t>
      </w:r>
      <w:proofErr w:type="spellStart"/>
      <w:r>
        <w:rPr>
          <w:rFonts w:ascii="Calibri" w:hAnsi="Calibri"/>
          <w:color w:val="1C283D"/>
          <w:sz w:val="22"/>
          <w:szCs w:val="22"/>
        </w:rPr>
        <w:t>nci</w:t>
      </w:r>
      <w:proofErr w:type="spellEnd"/>
      <w:r>
        <w:rPr>
          <w:rFonts w:ascii="Calibri" w:hAnsi="Calibri"/>
          <w:color w:val="1C283D"/>
          <w:sz w:val="22"/>
          <w:szCs w:val="22"/>
        </w:rPr>
        <w:t xml:space="preserve"> maddesinin birinci fıkrasının (e) bendine dayanılarak hazırlanmıştır.</w:t>
      </w:r>
    </w:p>
    <w:p w:rsidR="00CC27C7" w:rsidRDefault="00CC27C7" w:rsidP="00CC27C7">
      <w:pPr>
        <w:spacing w:line="240" w:lineRule="atLeast"/>
        <w:ind w:firstLine="567"/>
        <w:jc w:val="both"/>
        <w:rPr>
          <w:color w:val="1C283D"/>
        </w:rPr>
      </w:pPr>
      <w:r>
        <w:rPr>
          <w:rFonts w:ascii="Calibri" w:hAnsi="Calibri"/>
          <w:b/>
          <w:bCs/>
          <w:color w:val="1C283D"/>
          <w:sz w:val="22"/>
          <w:szCs w:val="22"/>
        </w:rPr>
        <w:t>Tanımlar</w:t>
      </w:r>
    </w:p>
    <w:p w:rsidR="00CC27C7" w:rsidRDefault="00CC27C7" w:rsidP="00CC27C7">
      <w:pPr>
        <w:spacing w:line="240" w:lineRule="atLeast"/>
        <w:ind w:firstLine="567"/>
        <w:jc w:val="both"/>
        <w:rPr>
          <w:color w:val="1C283D"/>
        </w:rPr>
      </w:pPr>
      <w:r>
        <w:rPr>
          <w:rFonts w:ascii="Calibri" w:hAnsi="Calibri"/>
          <w:b/>
          <w:bCs/>
          <w:color w:val="1C283D"/>
          <w:sz w:val="22"/>
          <w:szCs w:val="22"/>
        </w:rPr>
        <w:t>MADDE 4</w:t>
      </w:r>
      <w:r>
        <w:rPr>
          <w:rFonts w:ascii="Calibri" w:hAnsi="Calibri"/>
          <w:color w:val="1C283D"/>
          <w:sz w:val="22"/>
          <w:szCs w:val="22"/>
        </w:rPr>
        <w:t xml:space="preserve"> – (1) Yönetmelikte geçen;</w:t>
      </w:r>
    </w:p>
    <w:p w:rsidR="00CC27C7" w:rsidRDefault="00CC27C7" w:rsidP="00CC27C7">
      <w:pPr>
        <w:spacing w:line="240" w:lineRule="atLeast"/>
        <w:ind w:firstLine="567"/>
        <w:jc w:val="both"/>
        <w:rPr>
          <w:color w:val="1C283D"/>
        </w:rPr>
      </w:pPr>
      <w:r>
        <w:rPr>
          <w:rFonts w:ascii="Calibri" w:hAnsi="Calibri"/>
          <w:color w:val="1C283D"/>
          <w:sz w:val="22"/>
          <w:szCs w:val="22"/>
        </w:rPr>
        <w:t xml:space="preserve">a)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 Başarı şartını ve diğer koşulları sağlayan öğrencilerin aynı yükseköğretim kurumunun iki diploma programından eş zamanlı olarak ders alıp, iki ayrı diploma alabilmesini sağlayan programı,</w:t>
      </w:r>
    </w:p>
    <w:p w:rsidR="00CC27C7" w:rsidRDefault="00CC27C7" w:rsidP="00CC27C7">
      <w:pPr>
        <w:spacing w:line="240" w:lineRule="atLeast"/>
        <w:ind w:firstLine="567"/>
        <w:jc w:val="both"/>
        <w:rPr>
          <w:color w:val="1C283D"/>
        </w:rPr>
      </w:pPr>
      <w:r>
        <w:rPr>
          <w:rFonts w:ascii="Calibri" w:hAnsi="Calibri"/>
          <w:color w:val="1C283D"/>
          <w:sz w:val="22"/>
          <w:szCs w:val="22"/>
        </w:rPr>
        <w:t>b) 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rsidR="00CC27C7" w:rsidRDefault="00CC27C7" w:rsidP="00CC27C7">
      <w:pPr>
        <w:spacing w:line="240" w:lineRule="atLeast"/>
        <w:ind w:firstLine="567"/>
        <w:jc w:val="both"/>
        <w:rPr>
          <w:color w:val="1C283D"/>
        </w:rPr>
      </w:pPr>
      <w:r>
        <w:rPr>
          <w:rFonts w:ascii="Calibri" w:hAnsi="Calibri"/>
          <w:color w:val="1C283D"/>
          <w:sz w:val="22"/>
          <w:szCs w:val="22"/>
        </w:rPr>
        <w:t xml:space="preserve">c) Diploma programı: Fakülte, yüksekokul, konservatuvar, meslek yüksekokulu veya bölümlerin belirlenen yeterlilikleri sağlayan öğrencilere </w:t>
      </w:r>
      <w:proofErr w:type="spellStart"/>
      <w:r>
        <w:rPr>
          <w:rFonts w:ascii="Calibri" w:hAnsi="Calibri"/>
          <w:color w:val="1C283D"/>
          <w:sz w:val="22"/>
          <w:szCs w:val="22"/>
        </w:rPr>
        <w:t>önlisans</w:t>
      </w:r>
      <w:proofErr w:type="spellEnd"/>
      <w:r>
        <w:rPr>
          <w:rFonts w:ascii="Calibri" w:hAnsi="Calibri"/>
          <w:color w:val="1C283D"/>
          <w:sz w:val="22"/>
          <w:szCs w:val="22"/>
        </w:rPr>
        <w:t xml:space="preserve"> veya lisans diploması düzenlenen yükseköğretim programlarını,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ç) Düzey: </w:t>
      </w:r>
      <w:proofErr w:type="spellStart"/>
      <w:r>
        <w:rPr>
          <w:rFonts w:ascii="Calibri" w:hAnsi="Calibri"/>
          <w:color w:val="1C283D"/>
          <w:sz w:val="22"/>
          <w:szCs w:val="22"/>
        </w:rPr>
        <w:t>Önlisans</w:t>
      </w:r>
      <w:proofErr w:type="spellEnd"/>
      <w:r>
        <w:rPr>
          <w:rFonts w:ascii="Calibri" w:hAnsi="Calibri"/>
          <w:color w:val="1C283D"/>
          <w:sz w:val="22"/>
          <w:szCs w:val="22"/>
        </w:rPr>
        <w:t xml:space="preserve"> veya lisans diploma programlarından her birini,</w:t>
      </w:r>
    </w:p>
    <w:p w:rsidR="00CC27C7" w:rsidRDefault="00CC27C7" w:rsidP="00CC27C7">
      <w:pPr>
        <w:spacing w:line="240" w:lineRule="atLeast"/>
        <w:ind w:firstLine="567"/>
        <w:jc w:val="both"/>
        <w:rPr>
          <w:color w:val="1C283D"/>
        </w:rPr>
      </w:pPr>
      <w:r>
        <w:rPr>
          <w:rFonts w:ascii="Calibri" w:hAnsi="Calibri"/>
          <w:color w:val="1C283D"/>
          <w:sz w:val="22"/>
          <w:szCs w:val="22"/>
        </w:rPr>
        <w:t xml:space="preserve">d) Eşdeğer diploma programı: İsimleri aynı olan veya ilgili yönetim kurulları tarafından içeriklerinin en az yüzde sekseni aynı olduğu tespit edilen diploma programlarını, </w:t>
      </w:r>
    </w:p>
    <w:p w:rsidR="00CC27C7" w:rsidRDefault="00CC27C7" w:rsidP="00CC27C7">
      <w:pPr>
        <w:spacing w:line="240" w:lineRule="atLeast"/>
        <w:ind w:firstLine="567"/>
        <w:jc w:val="both"/>
        <w:rPr>
          <w:color w:val="1C283D"/>
        </w:rPr>
      </w:pPr>
      <w:proofErr w:type="gramStart"/>
      <w:r>
        <w:rPr>
          <w:rFonts w:ascii="Calibri" w:hAnsi="Calibri"/>
          <w:color w:val="1C283D"/>
          <w:sz w:val="22"/>
          <w:szCs w:val="22"/>
        </w:rPr>
        <w:t>e) Farklı Puan Türü:  Öğrenci Seçme ve Yerleştirme sisteminde yükseköğretim programlarına yerleştirmede kullanılan puanların hesaplanmasında kullanılan testler dikkate alınarak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roofErr w:type="gramEnd"/>
    </w:p>
    <w:p w:rsidR="00CC27C7" w:rsidRDefault="00CC27C7" w:rsidP="00CC27C7">
      <w:pPr>
        <w:spacing w:line="240" w:lineRule="atLeast"/>
        <w:ind w:firstLine="567"/>
        <w:jc w:val="both"/>
        <w:rPr>
          <w:color w:val="1C283D"/>
        </w:rPr>
      </w:pPr>
      <w:r>
        <w:rPr>
          <w:rFonts w:ascii="Calibri" w:hAnsi="Calibri"/>
          <w:color w:val="1C283D"/>
          <w:sz w:val="22"/>
          <w:szCs w:val="22"/>
        </w:rPr>
        <w:t xml:space="preserve">f) Genel not ortalaması: Öğrencinin hazırlık sınıfı hariç, geçiş yapmak istediği döneme kadar almış olduğu tüm derslerin kredilerine göre </w:t>
      </w:r>
      <w:proofErr w:type="spellStart"/>
      <w:r>
        <w:rPr>
          <w:rFonts w:ascii="Calibri" w:hAnsi="Calibri"/>
          <w:color w:val="1C283D"/>
          <w:sz w:val="22"/>
          <w:szCs w:val="22"/>
        </w:rPr>
        <w:t>ağırlıklandırılmış</w:t>
      </w:r>
      <w:proofErr w:type="spellEnd"/>
      <w:r>
        <w:rPr>
          <w:rFonts w:ascii="Calibri" w:hAnsi="Calibri"/>
          <w:color w:val="1C283D"/>
          <w:sz w:val="22"/>
          <w:szCs w:val="22"/>
        </w:rPr>
        <w:t xml:space="preserve"> not ortalamasını,</w:t>
      </w:r>
    </w:p>
    <w:p w:rsidR="00CC27C7" w:rsidRDefault="00CC27C7" w:rsidP="00CC27C7">
      <w:pPr>
        <w:spacing w:line="240" w:lineRule="atLeast"/>
        <w:ind w:firstLine="567"/>
        <w:jc w:val="both"/>
        <w:rPr>
          <w:color w:val="1C283D"/>
        </w:rPr>
      </w:pPr>
      <w:r>
        <w:rPr>
          <w:rFonts w:ascii="Calibri" w:hAnsi="Calibri"/>
          <w:color w:val="1C283D"/>
          <w:sz w:val="22"/>
          <w:szCs w:val="22"/>
        </w:rPr>
        <w:t>g) İlgili yönetim kurulu: Yükseköğretim kurumlarındaki fakültelerde fakülte yönetim kurulunu, yüksekokullarda yüksekokul yönetim kurulunu, konservatuvarlarda konservatuvar yönetim kurulunu, meslek yüksekokullarında meslek yüksekokulu yönetim kurulunu,</w:t>
      </w:r>
    </w:p>
    <w:p w:rsidR="00CC27C7" w:rsidRDefault="00CC27C7" w:rsidP="00CC27C7">
      <w:pPr>
        <w:spacing w:line="240" w:lineRule="atLeast"/>
        <w:ind w:firstLine="567"/>
        <w:jc w:val="both"/>
        <w:rPr>
          <w:color w:val="1C283D"/>
        </w:rPr>
      </w:pPr>
      <w:r>
        <w:rPr>
          <w:rFonts w:ascii="Calibri" w:hAnsi="Calibri"/>
          <w:color w:val="1C283D"/>
          <w:sz w:val="22"/>
          <w:szCs w:val="22"/>
        </w:rPr>
        <w:t xml:space="preserve">h) İntibak programı: Diploma programları arasında geçiş yapılması halinde, geçiş yapılan diploma programının müfredatına uyum sağlamak amacıyla ilave ders ve uygulamalardan oluşan programı, </w:t>
      </w:r>
    </w:p>
    <w:p w:rsidR="00CC27C7" w:rsidRDefault="00CC27C7" w:rsidP="00CC27C7">
      <w:pPr>
        <w:spacing w:line="240" w:lineRule="atLeast"/>
        <w:ind w:firstLine="567"/>
        <w:jc w:val="both"/>
        <w:rPr>
          <w:color w:val="1C283D"/>
        </w:rPr>
      </w:pPr>
      <w:r>
        <w:rPr>
          <w:rFonts w:ascii="Calibri" w:hAnsi="Calibri"/>
          <w:color w:val="1C283D"/>
          <w:sz w:val="22"/>
          <w:szCs w:val="22"/>
        </w:rPr>
        <w:lastRenderedPageBreak/>
        <w:t>ı) Kontenjan: Önceden belirlenip ilan edilen öğrenci sayısını,</w:t>
      </w:r>
    </w:p>
    <w:p w:rsidR="00CC27C7" w:rsidRDefault="00CC27C7" w:rsidP="00CC27C7">
      <w:pPr>
        <w:spacing w:line="240" w:lineRule="atLeast"/>
        <w:ind w:firstLine="567"/>
        <w:jc w:val="both"/>
        <w:rPr>
          <w:color w:val="1C283D"/>
        </w:rPr>
      </w:pPr>
      <w:r>
        <w:rPr>
          <w:rFonts w:ascii="Calibri" w:hAnsi="Calibri"/>
          <w:color w:val="1C283D"/>
          <w:sz w:val="22"/>
          <w:szCs w:val="22"/>
        </w:rPr>
        <w:t>i) Kurum içi yatay geçiş: Bir öğrencinin kayıtlı olduğu yükseköğretim kurumu içindeki aynı düzeydeki diğer diploma programlarına geçişini,</w:t>
      </w:r>
    </w:p>
    <w:p w:rsidR="00CC27C7" w:rsidRDefault="00CC27C7" w:rsidP="00CC27C7">
      <w:pPr>
        <w:spacing w:line="240" w:lineRule="atLeast"/>
        <w:ind w:firstLine="567"/>
        <w:jc w:val="both"/>
        <w:rPr>
          <w:color w:val="1C283D"/>
        </w:rPr>
      </w:pPr>
      <w:r>
        <w:rPr>
          <w:rFonts w:ascii="Calibri" w:hAnsi="Calibri"/>
          <w:color w:val="1C283D"/>
          <w:sz w:val="22"/>
          <w:szCs w:val="22"/>
        </w:rPr>
        <w:t>j) 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CC27C7" w:rsidRDefault="00CC27C7" w:rsidP="00CC27C7">
      <w:pPr>
        <w:spacing w:line="240" w:lineRule="atLeast"/>
        <w:ind w:firstLine="567"/>
        <w:jc w:val="both"/>
        <w:rPr>
          <w:color w:val="1C283D"/>
        </w:rPr>
      </w:pPr>
      <w:r>
        <w:rPr>
          <w:rFonts w:ascii="Calibri" w:hAnsi="Calibri"/>
          <w:color w:val="1C283D"/>
          <w:sz w:val="22"/>
          <w:szCs w:val="22"/>
        </w:rPr>
        <w:t>k) Not çizelgesi: Öğrenim süresi içinde alınan derslerin, isim, kredi ve başarı notlarının topluca yazıldığı belgeyi,</w:t>
      </w:r>
    </w:p>
    <w:p w:rsidR="00CC27C7" w:rsidRDefault="00CC27C7" w:rsidP="00CC27C7">
      <w:pPr>
        <w:spacing w:line="240" w:lineRule="atLeast"/>
        <w:ind w:firstLine="567"/>
        <w:jc w:val="both"/>
        <w:rPr>
          <w:color w:val="1C283D"/>
        </w:rPr>
      </w:pPr>
      <w:r>
        <w:rPr>
          <w:rFonts w:ascii="Calibri" w:hAnsi="Calibri"/>
          <w:color w:val="1C283D"/>
          <w:sz w:val="22"/>
          <w:szCs w:val="22"/>
        </w:rPr>
        <w:t xml:space="preserve">l) Ortak program: Fakülte, yüksekokul veya meslek yüksekokuluna kabul edilen öğrencilerin </w:t>
      </w:r>
      <w:proofErr w:type="spellStart"/>
      <w:r>
        <w:rPr>
          <w:rFonts w:ascii="Calibri" w:hAnsi="Calibri"/>
          <w:color w:val="1C283D"/>
          <w:sz w:val="22"/>
          <w:szCs w:val="22"/>
        </w:rPr>
        <w:t>önlisans</w:t>
      </w:r>
      <w:proofErr w:type="spellEnd"/>
      <w:r>
        <w:rPr>
          <w:rFonts w:ascii="Calibri" w:hAnsi="Calibri"/>
          <w:color w:val="1C283D"/>
          <w:sz w:val="22"/>
          <w:szCs w:val="22"/>
        </w:rPr>
        <w:t xml:space="preserve"> veya lisans derecesi verilen bir diploma programına geçmeden önce aynı yükseköğretim kurumunda aldıkları derslerden oluşan programı,</w:t>
      </w:r>
    </w:p>
    <w:p w:rsidR="00CC27C7" w:rsidRDefault="00CC27C7" w:rsidP="00CC27C7">
      <w:pPr>
        <w:spacing w:line="240" w:lineRule="atLeast"/>
        <w:ind w:firstLine="567"/>
        <w:jc w:val="both"/>
        <w:rPr>
          <w:color w:val="1C283D"/>
        </w:rPr>
      </w:pPr>
      <w:r>
        <w:rPr>
          <w:rFonts w:ascii="Calibri" w:hAnsi="Calibri"/>
          <w:color w:val="1C283D"/>
          <w:sz w:val="22"/>
          <w:szCs w:val="22"/>
        </w:rPr>
        <w:t xml:space="preserve">m) Uluslararası ortak diploma programı: Yükseköğretim kurumlarının yurtdışındaki yükseköğretim kurumları ve diğer kuruluşlarla işbirliği tesis ederek </w:t>
      </w:r>
      <w:proofErr w:type="spellStart"/>
      <w:r>
        <w:rPr>
          <w:rFonts w:ascii="Calibri" w:hAnsi="Calibri"/>
          <w:color w:val="1C283D"/>
          <w:sz w:val="22"/>
          <w:szCs w:val="22"/>
        </w:rPr>
        <w:t>önlisans</w:t>
      </w:r>
      <w:proofErr w:type="spellEnd"/>
      <w:r>
        <w:rPr>
          <w:rFonts w:ascii="Calibri" w:hAnsi="Calibri"/>
          <w:color w:val="1C283D"/>
          <w:sz w:val="22"/>
          <w:szCs w:val="22"/>
        </w:rPr>
        <w:t xml:space="preserve"> veya lisans diploması veren programlarında yürüttükleri uluslararası ortak eğitim ve öğretim programını,</w:t>
      </w:r>
    </w:p>
    <w:p w:rsidR="00CC27C7" w:rsidRDefault="00CC27C7" w:rsidP="00CC27C7">
      <w:pPr>
        <w:spacing w:line="240" w:lineRule="atLeast"/>
        <w:ind w:firstLine="567"/>
        <w:jc w:val="both"/>
        <w:rPr>
          <w:color w:val="1C283D"/>
        </w:rPr>
      </w:pPr>
      <w:r>
        <w:rPr>
          <w:rFonts w:ascii="Calibri" w:hAnsi="Calibri"/>
          <w:color w:val="1C283D"/>
          <w:sz w:val="22"/>
          <w:szCs w:val="22"/>
        </w:rPr>
        <w:t xml:space="preserve">n)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 xml:space="preserve">-2/5/2014-28988) </w:t>
      </w:r>
      <w:r>
        <w:rPr>
          <w:rFonts w:ascii="Calibri" w:hAnsi="Calibri"/>
          <w:color w:val="1C283D"/>
          <w:sz w:val="22"/>
          <w:szCs w:val="22"/>
        </w:rPr>
        <w:t>Taban puan: Bir yükseköğretim kurumunun diploma programına Ölçme, Seçme ve Yerleştirme Merkezi (ÖSYM) tarafından merkezi sınavla yerleştirilen en düşük puanlı öğrencinin giriş puanını,</w:t>
      </w:r>
    </w:p>
    <w:p w:rsidR="00CC27C7" w:rsidRDefault="00CC27C7" w:rsidP="00CC27C7">
      <w:pPr>
        <w:spacing w:line="240" w:lineRule="atLeast"/>
        <w:ind w:firstLine="567"/>
        <w:jc w:val="both"/>
        <w:rPr>
          <w:color w:val="1C283D"/>
        </w:rPr>
      </w:pPr>
      <w:r>
        <w:rPr>
          <w:rFonts w:ascii="Calibri" w:hAnsi="Calibri"/>
          <w:color w:val="1C283D"/>
          <w:sz w:val="22"/>
          <w:szCs w:val="22"/>
        </w:rPr>
        <w:t xml:space="preserve">o)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w:t>
      </w:r>
      <w:proofErr w:type="spellStart"/>
      <w:r>
        <w:rPr>
          <w:rFonts w:ascii="Calibri" w:hAnsi="Calibri"/>
          <w:color w:val="1C283D"/>
          <w:sz w:val="22"/>
          <w:szCs w:val="22"/>
        </w:rPr>
        <w:t>yandal</w:t>
      </w:r>
      <w:proofErr w:type="spellEnd"/>
      <w:r>
        <w:rPr>
          <w:rFonts w:ascii="Calibri" w:hAnsi="Calibri"/>
          <w:color w:val="1C283D"/>
          <w:sz w:val="22"/>
          <w:szCs w:val="22"/>
        </w:rPr>
        <w:t xml:space="preserve"> sertifikası) alabilmelerini sağlayan programı,</w:t>
      </w:r>
    </w:p>
    <w:p w:rsidR="00CC27C7" w:rsidRDefault="00CC27C7" w:rsidP="00CC27C7">
      <w:pPr>
        <w:spacing w:line="240" w:lineRule="atLeast"/>
        <w:ind w:firstLine="567"/>
        <w:jc w:val="both"/>
        <w:rPr>
          <w:color w:val="1C283D"/>
        </w:rPr>
      </w:pPr>
      <w:r>
        <w:rPr>
          <w:rFonts w:ascii="Calibri" w:hAnsi="Calibri"/>
          <w:color w:val="1C283D"/>
          <w:sz w:val="22"/>
          <w:szCs w:val="22"/>
        </w:rPr>
        <w:t xml:space="preserve">ö) Yatay geçiş: Bir yükseköğretim kurumunda kayıtlı olan öğrencinin bu Yönetmelikteki esaslar çerçevesinde, aynı düzeydeki diğer diploma programlarında öğrenime devam etme hakkı kazanmasını,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p) Yükseköğretim öğrenci </w:t>
      </w:r>
      <w:proofErr w:type="spellStart"/>
      <w:r>
        <w:rPr>
          <w:rFonts w:ascii="Calibri" w:hAnsi="Calibri"/>
          <w:color w:val="1C283D"/>
          <w:sz w:val="22"/>
          <w:szCs w:val="22"/>
        </w:rPr>
        <w:t>veritabanı</w:t>
      </w:r>
      <w:proofErr w:type="spellEnd"/>
      <w:r>
        <w:rPr>
          <w:rFonts w:ascii="Calibri" w:hAnsi="Calibri"/>
          <w:color w:val="1C283D"/>
          <w:sz w:val="22"/>
          <w:szCs w:val="22"/>
        </w:rPr>
        <w:t xml:space="preserve"> (YÖKSİS): Yükseköğretim Kurulu bünyesinde tüm yükseköğretim kurumlarında </w:t>
      </w:r>
      <w:proofErr w:type="spellStart"/>
      <w:r>
        <w:rPr>
          <w:rFonts w:ascii="Calibri" w:hAnsi="Calibri"/>
          <w:color w:val="1C283D"/>
          <w:sz w:val="22"/>
          <w:szCs w:val="22"/>
        </w:rPr>
        <w:t>önlisans</w:t>
      </w:r>
      <w:proofErr w:type="spellEnd"/>
      <w:r>
        <w:rPr>
          <w:rFonts w:ascii="Calibri" w:hAnsi="Calibri"/>
          <w:color w:val="1C283D"/>
          <w:sz w:val="22"/>
          <w:szCs w:val="22"/>
        </w:rPr>
        <w:t xml:space="preserve">, lisans ve lisansüstü düzeylerde öğrenim gören öğrencilerin bilgilerinin tutulduğu merkezi </w:t>
      </w:r>
      <w:proofErr w:type="spellStart"/>
      <w:r>
        <w:rPr>
          <w:rFonts w:ascii="Calibri" w:hAnsi="Calibri"/>
          <w:color w:val="1C283D"/>
          <w:sz w:val="22"/>
          <w:szCs w:val="22"/>
        </w:rPr>
        <w:t>veritabanını</w:t>
      </w:r>
      <w:proofErr w:type="spellEnd"/>
      <w:r>
        <w:rPr>
          <w:rFonts w:ascii="Calibri" w:hAnsi="Calibri"/>
          <w:color w:val="1C283D"/>
          <w:sz w:val="22"/>
          <w:szCs w:val="22"/>
        </w:rPr>
        <w:t xml:space="preserve">, </w:t>
      </w:r>
    </w:p>
    <w:p w:rsidR="00CC27C7" w:rsidRDefault="00CC27C7" w:rsidP="00CC27C7">
      <w:pPr>
        <w:spacing w:line="240" w:lineRule="atLeast"/>
        <w:ind w:firstLine="567"/>
        <w:jc w:val="both"/>
        <w:rPr>
          <w:color w:val="1C283D"/>
        </w:rPr>
      </w:pPr>
      <w:proofErr w:type="gramStart"/>
      <w:r>
        <w:rPr>
          <w:rFonts w:ascii="Calibri" w:hAnsi="Calibri"/>
          <w:color w:val="1C283D"/>
          <w:sz w:val="22"/>
          <w:szCs w:val="22"/>
        </w:rPr>
        <w:t>ifade</w:t>
      </w:r>
      <w:proofErr w:type="gramEnd"/>
      <w:r>
        <w:rPr>
          <w:rFonts w:ascii="Calibri" w:hAnsi="Calibri"/>
          <w:color w:val="1C283D"/>
          <w:sz w:val="22"/>
          <w:szCs w:val="22"/>
        </w:rPr>
        <w:t xml:space="preserve"> eder. </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İKİNCİ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Genel İlkeler</w:t>
      </w:r>
    </w:p>
    <w:p w:rsidR="00CC27C7" w:rsidRDefault="00CC27C7" w:rsidP="00CC27C7">
      <w:pPr>
        <w:spacing w:line="240" w:lineRule="atLeast"/>
        <w:ind w:firstLine="567"/>
        <w:jc w:val="both"/>
        <w:rPr>
          <w:color w:val="1C283D"/>
        </w:rPr>
      </w:pPr>
      <w:r>
        <w:rPr>
          <w:rFonts w:ascii="Calibri" w:hAnsi="Calibri"/>
          <w:b/>
          <w:bCs/>
          <w:color w:val="1C283D"/>
          <w:sz w:val="22"/>
          <w:szCs w:val="22"/>
        </w:rPr>
        <w:t>Kontenjan</w:t>
      </w:r>
    </w:p>
    <w:p w:rsidR="00CC27C7" w:rsidRDefault="00CC27C7" w:rsidP="00CC27C7">
      <w:pPr>
        <w:spacing w:line="240" w:lineRule="atLeast"/>
        <w:ind w:firstLine="567"/>
        <w:jc w:val="both"/>
        <w:rPr>
          <w:color w:val="1C283D"/>
        </w:rPr>
      </w:pPr>
      <w:r>
        <w:rPr>
          <w:rFonts w:ascii="Calibri" w:hAnsi="Calibri"/>
          <w:b/>
          <w:bCs/>
          <w:color w:val="1C283D"/>
          <w:sz w:val="22"/>
          <w:szCs w:val="22"/>
        </w:rPr>
        <w:t>MADDE 5</w:t>
      </w:r>
      <w:r>
        <w:rPr>
          <w:rFonts w:ascii="Calibri" w:hAnsi="Calibri"/>
          <w:color w:val="1C283D"/>
          <w:sz w:val="22"/>
          <w:szCs w:val="22"/>
        </w:rPr>
        <w:t xml:space="preserve"> – (1)  Farklı yükseköğretim kurumlarının diploma programları veya aynı yükseköğretim kurumu içindeki diploma programları arasında ancak önceden ilan edilen sayı ve geçiş şartları çerçevesinde geçiş yapılabilir. </w:t>
      </w:r>
    </w:p>
    <w:p w:rsidR="00CC27C7" w:rsidRDefault="00CC27C7" w:rsidP="00CC27C7">
      <w:pPr>
        <w:spacing w:line="240" w:lineRule="atLeast"/>
        <w:ind w:firstLine="567"/>
        <w:jc w:val="both"/>
        <w:rPr>
          <w:color w:val="1C283D"/>
        </w:rPr>
      </w:pPr>
      <w:r>
        <w:rPr>
          <w:rFonts w:ascii="Calibri" w:hAnsi="Calibri"/>
          <w:color w:val="1C283D"/>
          <w:sz w:val="22"/>
          <w:szCs w:val="22"/>
        </w:rPr>
        <w:t>(2) ÖSYM tarafından yapılan yerleştirmelerde kontenjan sınırlaması bulunmayan diploma programlarına yatay geçişlerde kontenjan sınırlaması uygulanmaz.</w:t>
      </w:r>
    </w:p>
    <w:p w:rsidR="00CC27C7" w:rsidRDefault="00CC27C7" w:rsidP="00CC27C7">
      <w:pPr>
        <w:spacing w:line="240" w:lineRule="atLeast"/>
        <w:ind w:firstLine="567"/>
        <w:jc w:val="both"/>
        <w:rPr>
          <w:color w:val="1C283D"/>
        </w:rPr>
      </w:pPr>
      <w:r>
        <w:rPr>
          <w:rFonts w:ascii="Calibri" w:hAnsi="Calibri"/>
          <w:b/>
          <w:bCs/>
          <w:color w:val="1C283D"/>
          <w:sz w:val="22"/>
          <w:szCs w:val="22"/>
        </w:rPr>
        <w:t>Geçişler</w:t>
      </w:r>
    </w:p>
    <w:p w:rsidR="00CC27C7" w:rsidRDefault="00CC27C7" w:rsidP="00CC27C7">
      <w:pPr>
        <w:spacing w:line="240" w:lineRule="atLeast"/>
        <w:ind w:firstLine="567"/>
        <w:jc w:val="both"/>
        <w:rPr>
          <w:color w:val="1C283D"/>
        </w:rPr>
      </w:pPr>
      <w:r>
        <w:rPr>
          <w:rFonts w:ascii="Calibri" w:hAnsi="Calibri"/>
          <w:b/>
          <w:bCs/>
          <w:color w:val="1C283D"/>
          <w:sz w:val="22"/>
          <w:szCs w:val="22"/>
        </w:rPr>
        <w:t>MADDE 6</w:t>
      </w:r>
      <w:r>
        <w:rPr>
          <w:rFonts w:ascii="Calibri" w:hAnsi="Calibri"/>
          <w:color w:val="1C283D"/>
          <w:sz w:val="22"/>
          <w:szCs w:val="22"/>
        </w:rPr>
        <w:t xml:space="preserve"> – (1) </w:t>
      </w:r>
      <w:proofErr w:type="spellStart"/>
      <w:r>
        <w:rPr>
          <w:rFonts w:ascii="Calibri" w:hAnsi="Calibri"/>
          <w:color w:val="1C283D"/>
          <w:sz w:val="22"/>
          <w:szCs w:val="22"/>
        </w:rPr>
        <w:t>Önlisans</w:t>
      </w:r>
      <w:proofErr w:type="spellEnd"/>
      <w:r>
        <w:rPr>
          <w:rFonts w:ascii="Calibri" w:hAnsi="Calibri"/>
          <w:color w:val="1C283D"/>
          <w:sz w:val="22"/>
          <w:szCs w:val="22"/>
        </w:rPr>
        <w:t xml:space="preserve"> diploma programlarının ilk yarıyılı ile son yarıyılına, lisans diploma programlarının ilk iki yarıyılı ile lisans diploma programlarının son iki yarıyılına yatay geçiş yapılamaz.</w:t>
      </w:r>
    </w:p>
    <w:p w:rsidR="00CC27C7" w:rsidRDefault="00CC27C7" w:rsidP="00CC27C7">
      <w:pPr>
        <w:spacing w:line="240" w:lineRule="atLeast"/>
        <w:ind w:firstLine="567"/>
        <w:jc w:val="both"/>
        <w:rPr>
          <w:color w:val="1C283D"/>
        </w:rPr>
      </w:pPr>
      <w:r>
        <w:rPr>
          <w:rFonts w:ascii="Calibri" w:hAnsi="Calibri"/>
          <w:color w:val="1C283D"/>
          <w:sz w:val="22"/>
          <w:szCs w:val="22"/>
        </w:rPr>
        <w:t>(2)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rPr>
          <w:rFonts w:ascii="Calibri" w:hAnsi="Calibri"/>
          <w:color w:val="1C283D"/>
          <w:sz w:val="22"/>
          <w:szCs w:val="22"/>
        </w:rPr>
        <w:t>dahilinde</w:t>
      </w:r>
      <w:proofErr w:type="gramEnd"/>
      <w:r>
        <w:rPr>
          <w:rFonts w:ascii="Calibri" w:hAnsi="Calibri"/>
          <w:color w:val="1C283D"/>
          <w:sz w:val="22"/>
          <w:szCs w:val="22"/>
        </w:rPr>
        <w:t xml:space="preserve"> yatay geçiş yapabilirler.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Birinci veya ikinci öğretim diploma programlarından açık veya uzaktan eğitim veren diploma programlarına yatay geçiş yapılabilir. </w:t>
      </w:r>
    </w:p>
    <w:p w:rsidR="00CC27C7" w:rsidRDefault="00CC27C7" w:rsidP="00CC27C7">
      <w:pPr>
        <w:spacing w:line="240" w:lineRule="atLeast"/>
        <w:ind w:firstLine="567"/>
        <w:jc w:val="both"/>
        <w:rPr>
          <w:color w:val="1C283D"/>
        </w:rPr>
      </w:pPr>
      <w:r>
        <w:rPr>
          <w:rFonts w:ascii="Calibri" w:hAnsi="Calibri"/>
          <w:b/>
          <w:bCs/>
          <w:color w:val="1C283D"/>
          <w:sz w:val="22"/>
          <w:szCs w:val="22"/>
        </w:rPr>
        <w:t>Başvuru ve değerlendirme</w:t>
      </w:r>
    </w:p>
    <w:p w:rsidR="00CC27C7" w:rsidRDefault="00CC27C7" w:rsidP="00CC27C7">
      <w:pPr>
        <w:spacing w:line="240" w:lineRule="atLeast"/>
        <w:ind w:firstLine="567"/>
        <w:jc w:val="both"/>
        <w:rPr>
          <w:color w:val="1C283D"/>
        </w:rPr>
      </w:pPr>
      <w:r>
        <w:rPr>
          <w:rFonts w:ascii="Calibri" w:hAnsi="Calibri"/>
          <w:b/>
          <w:bCs/>
          <w:color w:val="1C283D"/>
          <w:sz w:val="22"/>
          <w:szCs w:val="22"/>
        </w:rPr>
        <w:t>MADDE 7</w:t>
      </w:r>
      <w:r>
        <w:rPr>
          <w:rFonts w:ascii="Calibri" w:hAnsi="Calibri"/>
          <w:color w:val="1C283D"/>
          <w:sz w:val="22"/>
          <w:szCs w:val="22"/>
        </w:rPr>
        <w:t xml:space="preserve"> – (1) Diploma programları arasında yatay geçiş başvuruları, sadece ilan edilen süre içerisinde yapılır.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Yatay geçiş başvurularının değerlendirilmesinde kullanılacak olan </w:t>
      </w:r>
      <w:proofErr w:type="gramStart"/>
      <w:r>
        <w:rPr>
          <w:rFonts w:ascii="Calibri" w:hAnsi="Calibri"/>
          <w:color w:val="1C283D"/>
          <w:sz w:val="22"/>
          <w:szCs w:val="22"/>
        </w:rPr>
        <w:t>kriterler</w:t>
      </w:r>
      <w:proofErr w:type="gramEnd"/>
      <w:r>
        <w:rPr>
          <w:rFonts w:ascii="Calibri" w:hAnsi="Calibri"/>
          <w:color w:val="1C283D"/>
          <w:sz w:val="22"/>
          <w:szCs w:val="22"/>
        </w:rPr>
        <w:t xml:space="preserve"> ve yatay geçiş için gereken asgari koşullar, üniversite senatolarınca belirlenir.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w:t>
      </w:r>
      <w:proofErr w:type="gramStart"/>
      <w:r>
        <w:rPr>
          <w:rFonts w:ascii="Calibri" w:hAnsi="Calibri"/>
          <w:color w:val="1C283D"/>
          <w:sz w:val="22"/>
          <w:szCs w:val="22"/>
        </w:rPr>
        <w:t>kriterlere</w:t>
      </w:r>
      <w:proofErr w:type="gramEnd"/>
      <w:r>
        <w:rPr>
          <w:rFonts w:ascii="Calibri" w:hAnsi="Calibri"/>
          <w:color w:val="1C283D"/>
          <w:sz w:val="22"/>
          <w:szCs w:val="22"/>
        </w:rPr>
        <w:t xml:space="preserve"> göre değerlendirilir ve ayrılan kontenjana göre geçiş sağlanır.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Diploma programına yatay geçiş yerleştirme işlemleri yükseköğretim kurumlarının ilgili yönetim kurulu kararı üzerine yapılır.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Kayıt dondurmuş olmak, yatay geçiş hakkından yararlanmak için engel teşkil etmez. </w:t>
      </w:r>
    </w:p>
    <w:p w:rsidR="00CC27C7" w:rsidRDefault="00CC27C7" w:rsidP="00CC27C7">
      <w:pPr>
        <w:spacing w:line="240" w:lineRule="atLeast"/>
        <w:ind w:firstLine="567"/>
        <w:jc w:val="both"/>
        <w:rPr>
          <w:color w:val="1C283D"/>
        </w:rPr>
      </w:pPr>
      <w:r>
        <w:rPr>
          <w:rFonts w:ascii="Calibri" w:hAnsi="Calibri"/>
          <w:color w:val="1C283D"/>
          <w:sz w:val="22"/>
          <w:szCs w:val="22"/>
        </w:rPr>
        <w:t>(6) Dörtlü veya yüzlü sisteme göre elde edilen başarı notlarının birbirine dönüştürülmesinde, Yükseköğretim Yürütme Kurulu tarafından belirlenen dönüştürme tabloları veya üniversitelerince düzenlenen karşılıklar kullanılabilir. Uygulanacak olan karşılık yöntemi üniversite senatosu tarafından belirlenir.</w:t>
      </w:r>
    </w:p>
    <w:p w:rsidR="00CC27C7" w:rsidRDefault="00CC27C7" w:rsidP="00CC27C7">
      <w:pPr>
        <w:spacing w:line="240" w:lineRule="atLeast"/>
        <w:ind w:firstLine="567"/>
        <w:jc w:val="both"/>
        <w:rPr>
          <w:color w:val="1C283D"/>
        </w:rPr>
      </w:pPr>
      <w:r>
        <w:rPr>
          <w:rFonts w:ascii="Calibri" w:hAnsi="Calibri"/>
          <w:b/>
          <w:bCs/>
          <w:color w:val="1C283D"/>
          <w:sz w:val="22"/>
          <w:szCs w:val="22"/>
        </w:rPr>
        <w:t>Sonuçların ilanı ve intibak programı</w:t>
      </w:r>
    </w:p>
    <w:p w:rsidR="00CC27C7" w:rsidRDefault="00CC27C7" w:rsidP="00CC27C7">
      <w:pPr>
        <w:spacing w:line="240" w:lineRule="atLeast"/>
        <w:ind w:firstLine="567"/>
        <w:jc w:val="both"/>
        <w:rPr>
          <w:color w:val="1C283D"/>
        </w:rPr>
      </w:pPr>
      <w:r>
        <w:rPr>
          <w:rFonts w:ascii="Calibri" w:hAnsi="Calibri"/>
          <w:b/>
          <w:bCs/>
          <w:color w:val="1C283D"/>
          <w:sz w:val="22"/>
          <w:szCs w:val="22"/>
        </w:rPr>
        <w:t>MADDE 8</w:t>
      </w:r>
      <w:r>
        <w:rPr>
          <w:rFonts w:ascii="Calibri" w:hAnsi="Calibri"/>
          <w:color w:val="1C283D"/>
          <w:sz w:val="22"/>
          <w:szCs w:val="22"/>
        </w:rPr>
        <w:t xml:space="preserve"> – (1) Her bir diploma programına yatay geçiş için başvuran adayların değerlendirme sonuçları, ilgili yükseköğretim kurumunun internet sayfasında duyurulur. Yatay geçiş hakkı kazananlara kendileri hakkındaki karar yazılı olarak tebliğ edilir. </w:t>
      </w:r>
    </w:p>
    <w:p w:rsidR="00CC27C7" w:rsidRDefault="00CC27C7" w:rsidP="00CC27C7">
      <w:pPr>
        <w:spacing w:line="240" w:lineRule="atLeast"/>
        <w:ind w:firstLine="567"/>
        <w:jc w:val="both"/>
        <w:rPr>
          <w:color w:val="1C283D"/>
        </w:rPr>
      </w:pPr>
      <w:r>
        <w:rPr>
          <w:rFonts w:ascii="Calibri" w:hAnsi="Calibri"/>
          <w:color w:val="1C283D"/>
          <w:sz w:val="22"/>
          <w:szCs w:val="22"/>
        </w:rPr>
        <w:t>(2) Başarı şartını taşıyan yeterli sayıda adayın olması halinde kontenjan sayısı kadar yedek aday ilan edilir.  Belirlenen süre içinde asıl adaylardan başvuru yapılmaması halinde sırayla yedekler çağrılır.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Bu Yönetmelik kapsamında geçiş yapan öğrencilerin yeni durumları, kayıt işlemi tamamlanıp, geçiş ve intibak işlemleri kesinleştikten sonra en geç 15 gün içinde Öğrenci İşleri Daire Başkanlığı tarafından yükseköğretim öğrenci </w:t>
      </w:r>
      <w:proofErr w:type="spellStart"/>
      <w:r>
        <w:rPr>
          <w:rFonts w:ascii="Calibri" w:hAnsi="Calibri"/>
          <w:color w:val="1C283D"/>
          <w:sz w:val="22"/>
          <w:szCs w:val="22"/>
        </w:rPr>
        <w:t>veritabanına</w:t>
      </w:r>
      <w:proofErr w:type="spellEnd"/>
      <w:r>
        <w:rPr>
          <w:rFonts w:ascii="Calibri" w:hAnsi="Calibri"/>
          <w:color w:val="1C283D"/>
          <w:sz w:val="22"/>
          <w:szCs w:val="22"/>
        </w:rPr>
        <w:t xml:space="preserve"> (YÖKSİS) işlenir.</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ÜÇÜNCÜ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Kurum İçi Programlar Arası Yatay Geçiş</w:t>
      </w:r>
    </w:p>
    <w:p w:rsidR="00CC27C7" w:rsidRDefault="00CC27C7" w:rsidP="00CC27C7">
      <w:pPr>
        <w:spacing w:line="240" w:lineRule="atLeast"/>
        <w:ind w:firstLine="567"/>
        <w:jc w:val="both"/>
        <w:rPr>
          <w:color w:val="1C283D"/>
        </w:rPr>
      </w:pPr>
      <w:r>
        <w:rPr>
          <w:rFonts w:ascii="Calibri" w:hAnsi="Calibri"/>
          <w:b/>
          <w:bCs/>
          <w:color w:val="1C283D"/>
          <w:sz w:val="22"/>
          <w:szCs w:val="22"/>
        </w:rPr>
        <w:t>Kurum içi yatay geçiş kontenjanları ve taban puan şartı</w:t>
      </w:r>
    </w:p>
    <w:p w:rsidR="00CC27C7" w:rsidRDefault="00CC27C7" w:rsidP="00CC27C7">
      <w:pPr>
        <w:spacing w:line="240" w:lineRule="atLeast"/>
        <w:ind w:firstLine="567"/>
        <w:jc w:val="both"/>
        <w:rPr>
          <w:color w:val="1C283D"/>
        </w:rPr>
      </w:pPr>
      <w:r>
        <w:rPr>
          <w:rFonts w:ascii="Calibri" w:hAnsi="Calibri"/>
          <w:b/>
          <w:bCs/>
          <w:color w:val="1C283D"/>
          <w:sz w:val="22"/>
          <w:szCs w:val="22"/>
        </w:rPr>
        <w:t>MADDE 9</w:t>
      </w:r>
      <w:r>
        <w:rPr>
          <w:rFonts w:ascii="Calibri" w:hAnsi="Calibri"/>
          <w:color w:val="1C283D"/>
          <w:sz w:val="22"/>
          <w:szCs w:val="22"/>
        </w:rPr>
        <w:t xml:space="preserve"> – (1) Bir fakülte, yüksekokul, konservatuvar veya meslek yüksekokulunun kendi bünyesindeki veya aynı üniversite içinde yer alan diğer fakülte, yüksekokul, konservatuvar veya meslek yüksekokulunun bünyesindeki eşdeğer düzeyde diploma programlarına ilgili yönetim kurulu tarafından belirlenen kontenjanlar </w:t>
      </w:r>
      <w:proofErr w:type="gramStart"/>
      <w:r>
        <w:rPr>
          <w:rFonts w:ascii="Calibri" w:hAnsi="Calibri"/>
          <w:color w:val="1C283D"/>
          <w:sz w:val="22"/>
          <w:szCs w:val="22"/>
        </w:rPr>
        <w:t>dahilinde</w:t>
      </w:r>
      <w:proofErr w:type="gramEnd"/>
      <w:r>
        <w:rPr>
          <w:rFonts w:ascii="Calibri" w:hAnsi="Calibri"/>
          <w:color w:val="1C283D"/>
          <w:sz w:val="22"/>
          <w:szCs w:val="22"/>
        </w:rPr>
        <w:t xml:space="preserve"> yatay geçiş yapılabilir.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Hangi dönemlerde ve hangi diploma programları için kurum içi yatay geçiş kontenjanı belirleneceği, her bir diploma programı için ikinci yarıyıldan başlamak ve beşinci yarıyıl </w:t>
      </w:r>
      <w:proofErr w:type="gramStart"/>
      <w:r>
        <w:rPr>
          <w:rFonts w:ascii="Calibri" w:hAnsi="Calibri"/>
          <w:color w:val="1C283D"/>
          <w:sz w:val="22"/>
          <w:szCs w:val="22"/>
        </w:rPr>
        <w:t>dahil</w:t>
      </w:r>
      <w:proofErr w:type="gramEnd"/>
      <w:r>
        <w:rPr>
          <w:rFonts w:ascii="Calibri" w:hAnsi="Calibri"/>
          <w:color w:val="1C283D"/>
          <w:sz w:val="22"/>
          <w:szCs w:val="22"/>
        </w:rPr>
        <w:t xml:space="preserve"> olmak üzere, kontenjan ilan edilen her yıl için ÖSYM Kılavuzunda öngörülen öğrenci kontenjanının yüzde </w:t>
      </w:r>
      <w:proofErr w:type="spellStart"/>
      <w:r>
        <w:rPr>
          <w:rFonts w:ascii="Calibri" w:hAnsi="Calibri"/>
          <w:color w:val="1C283D"/>
          <w:sz w:val="22"/>
          <w:szCs w:val="22"/>
        </w:rPr>
        <w:t>onbeşini</w:t>
      </w:r>
      <w:proofErr w:type="spellEnd"/>
      <w:r>
        <w:rPr>
          <w:rFonts w:ascii="Calibri" w:hAnsi="Calibri"/>
          <w:color w:val="1C283D"/>
          <w:sz w:val="22"/>
          <w:szCs w:val="22"/>
        </w:rPr>
        <w:t xml:space="preserve"> geçmeyecek biçimde, ilgili yönetim kurulları tarafından karara bağlanır. Vakıf üniversitelerinin bir programında burslu kontenjan </w:t>
      </w:r>
      <w:proofErr w:type="gramStart"/>
      <w:r>
        <w:rPr>
          <w:rFonts w:ascii="Calibri" w:hAnsi="Calibri"/>
          <w:color w:val="1C283D"/>
          <w:sz w:val="22"/>
          <w:szCs w:val="22"/>
        </w:rPr>
        <w:t>dahilinde</w:t>
      </w:r>
      <w:proofErr w:type="gramEnd"/>
      <w:r>
        <w:rPr>
          <w:rFonts w:ascii="Calibri" w:hAnsi="Calibri"/>
          <w:color w:val="1C283D"/>
          <w:sz w:val="22"/>
          <w:szCs w:val="22"/>
        </w:rPr>
        <w:t xml:space="preserve"> öğrenim görmekte olan öğrenciler yatay geçiş yaptıklarında burslarından feragat etmiş sayılırlar. Ortak programdan sonra diploma programına geçiş uygulaması olan yükseköğretim kurumlarının kurum içi geçiş kontenjanı belirlenmesinde, bu diploma programları için senato tarafından belirlenmiş olan kontenjanlar esas alınır. </w:t>
      </w:r>
    </w:p>
    <w:p w:rsidR="00CC27C7" w:rsidRDefault="00CC27C7" w:rsidP="00CC27C7">
      <w:pPr>
        <w:spacing w:line="240" w:lineRule="atLeast"/>
        <w:ind w:firstLine="567"/>
        <w:jc w:val="both"/>
        <w:rPr>
          <w:color w:val="1C283D"/>
        </w:rPr>
      </w:pPr>
      <w:r>
        <w:rPr>
          <w:rFonts w:ascii="Calibri" w:hAnsi="Calibri"/>
          <w:color w:val="1C283D"/>
          <w:sz w:val="22"/>
          <w:szCs w:val="22"/>
        </w:rPr>
        <w:t>(3) Kurum içi yatay geçiş kontenjanları, ilgili diploma programının son dört yıla ait taban puanları, varsa kurum içi yatay geçiş için senato tarafından öngörülen ilave şartlarla birlikte, son başvurunun kabul edileceği günden en az 15 gün öncesinde kurumun internet sayfasında ilan edilir.</w:t>
      </w:r>
    </w:p>
    <w:p w:rsidR="00CC27C7" w:rsidRDefault="00CC27C7" w:rsidP="00CC27C7">
      <w:pPr>
        <w:spacing w:line="240" w:lineRule="atLeast"/>
        <w:ind w:firstLine="567"/>
        <w:jc w:val="both"/>
        <w:rPr>
          <w:color w:val="1C283D"/>
        </w:rPr>
      </w:pPr>
      <w:r>
        <w:rPr>
          <w:rFonts w:ascii="Calibri" w:hAnsi="Calibri"/>
          <w:color w:val="1C283D"/>
          <w:sz w:val="22"/>
          <w:szCs w:val="22"/>
        </w:rPr>
        <w:t>(4) Programların kurum içi kontenjanları aynı fakülte, yüksekokul, konservatuvar veya meslek yüksekokulu bünyesinde yer alan diploma programları ile diğer fakülte, yüksekokul, konservatuvar veya meslek yüksekokulu bünyesindeki diploma programları için ayrı ayrı belirlenebilir.</w:t>
      </w:r>
    </w:p>
    <w:p w:rsidR="00CC27C7" w:rsidRDefault="00CC27C7" w:rsidP="00CC27C7">
      <w:pPr>
        <w:spacing w:line="240" w:lineRule="atLeast"/>
        <w:ind w:firstLine="567"/>
        <w:jc w:val="both"/>
        <w:rPr>
          <w:color w:val="1C283D"/>
        </w:rPr>
      </w:pPr>
      <w:proofErr w:type="gramStart"/>
      <w:r>
        <w:rPr>
          <w:rFonts w:ascii="Calibri" w:hAnsi="Calibri"/>
          <w:color w:val="1C283D"/>
          <w:sz w:val="22"/>
          <w:szCs w:val="22"/>
        </w:rPr>
        <w:t>(5) 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roofErr w:type="gramEnd"/>
    </w:p>
    <w:p w:rsidR="00CC27C7" w:rsidRDefault="00CC27C7" w:rsidP="00CC27C7">
      <w:pPr>
        <w:spacing w:line="240" w:lineRule="atLeast"/>
        <w:ind w:firstLine="567"/>
        <w:jc w:val="both"/>
        <w:rPr>
          <w:color w:val="1C283D"/>
        </w:rPr>
      </w:pPr>
      <w:r>
        <w:rPr>
          <w:rFonts w:ascii="Calibri" w:hAnsi="Calibri"/>
          <w:color w:val="1C283D"/>
          <w:sz w:val="22"/>
          <w:szCs w:val="22"/>
        </w:rPr>
        <w:t xml:space="preserve"> (6) Yetenek sınavı ile öğrenci alan diploma programlarına kurum içi yatay geçişlerde diğer şartların yanı sıra yetenek sınavında da başarılı olma şartı aranır. </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Ortak programdan diploma programlarına geçiş </w:t>
      </w:r>
    </w:p>
    <w:p w:rsidR="00CC27C7" w:rsidRDefault="00CC27C7" w:rsidP="00CC27C7">
      <w:pPr>
        <w:spacing w:line="240" w:lineRule="atLeast"/>
        <w:ind w:firstLine="567"/>
        <w:jc w:val="both"/>
        <w:rPr>
          <w:color w:val="1C283D"/>
        </w:rPr>
      </w:pPr>
      <w:r>
        <w:rPr>
          <w:rFonts w:ascii="Calibri" w:hAnsi="Calibri"/>
          <w:b/>
          <w:bCs/>
          <w:color w:val="1C283D"/>
          <w:sz w:val="22"/>
          <w:szCs w:val="22"/>
        </w:rPr>
        <w:t>MADDE 10</w:t>
      </w:r>
      <w:r>
        <w:rPr>
          <w:rFonts w:ascii="Calibri" w:hAnsi="Calibri"/>
          <w:color w:val="1C283D"/>
          <w:sz w:val="22"/>
          <w:szCs w:val="22"/>
        </w:rPr>
        <w:t xml:space="preserve"> – (1) Ortak programa yerleşen öğrencilerin diploma programına geçiş yapabilmesi için kontenjanlar en geç kayıt döneminden bir hafta önce her diploma programının kontenjanı otuzdan az olmayacak şekilde senato tarafından belirlenir.</w:t>
      </w:r>
    </w:p>
    <w:p w:rsidR="00CC27C7" w:rsidRDefault="00CC27C7" w:rsidP="00CC27C7">
      <w:pPr>
        <w:spacing w:line="240" w:lineRule="atLeast"/>
        <w:ind w:firstLine="567"/>
        <w:jc w:val="both"/>
        <w:rPr>
          <w:color w:val="1C283D"/>
        </w:rPr>
      </w:pPr>
      <w:r>
        <w:rPr>
          <w:rFonts w:ascii="Calibri" w:hAnsi="Calibri"/>
          <w:color w:val="1C283D"/>
          <w:sz w:val="22"/>
          <w:szCs w:val="22"/>
        </w:rPr>
        <w:t>(2)  Ortak programı başarı ile tamamlayan her öğrenciden, diploma programına geçebilmeleri için ortak programdaki diploma programı sayısı kadar tercih alınır.</w:t>
      </w:r>
    </w:p>
    <w:p w:rsidR="00CC27C7" w:rsidRDefault="00CC27C7" w:rsidP="00CC27C7">
      <w:pPr>
        <w:spacing w:line="240" w:lineRule="atLeast"/>
        <w:ind w:firstLine="567"/>
        <w:jc w:val="both"/>
        <w:rPr>
          <w:color w:val="1C283D"/>
        </w:rPr>
      </w:pPr>
      <w:r>
        <w:rPr>
          <w:rFonts w:ascii="Calibri" w:hAnsi="Calibri"/>
          <w:color w:val="1C283D"/>
          <w:sz w:val="22"/>
          <w:szCs w:val="22"/>
        </w:rPr>
        <w:t> </w:t>
      </w:r>
      <w:proofErr w:type="gramStart"/>
      <w:r>
        <w:rPr>
          <w:rFonts w:ascii="Calibri" w:hAnsi="Calibri"/>
          <w:color w:val="1C283D"/>
          <w:sz w:val="22"/>
          <w:szCs w:val="22"/>
        </w:rPr>
        <w:t xml:space="preserve">(3) 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w:t>
      </w:r>
      <w:proofErr w:type="gramEnd"/>
      <w:r>
        <w:rPr>
          <w:rFonts w:ascii="Calibri" w:hAnsi="Calibri"/>
          <w:color w:val="1C283D"/>
          <w:sz w:val="22"/>
          <w:szCs w:val="22"/>
        </w:rPr>
        <w:t xml:space="preserve">Adayların yerleştirme puanının eşit olması halinde merkezi yerleştirme puanı daha yüksek olana öncelik tanınır. Bu </w:t>
      </w:r>
      <w:proofErr w:type="gramStart"/>
      <w:r>
        <w:rPr>
          <w:rFonts w:ascii="Calibri" w:hAnsi="Calibri"/>
          <w:color w:val="1C283D"/>
          <w:sz w:val="22"/>
          <w:szCs w:val="22"/>
        </w:rPr>
        <w:t>kriterlerden</w:t>
      </w:r>
      <w:proofErr w:type="gramEnd"/>
      <w:r>
        <w:rPr>
          <w:rFonts w:ascii="Calibri" w:hAnsi="Calibri"/>
          <w:color w:val="1C283D"/>
          <w:sz w:val="22"/>
          <w:szCs w:val="22"/>
        </w:rPr>
        <w:t xml:space="preserve"> hangisinin uygulanacağı, üniversite senatosu tarafından belirlenir.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Diploma programı seçimi öncesinde, yabancı dil hazırlık sınıfı dışında geçirilen süre öğrenim süresine </w:t>
      </w:r>
      <w:proofErr w:type="gramStart"/>
      <w:r>
        <w:rPr>
          <w:rFonts w:ascii="Calibri" w:hAnsi="Calibri"/>
          <w:color w:val="1C283D"/>
          <w:sz w:val="22"/>
          <w:szCs w:val="22"/>
        </w:rPr>
        <w:t>dahildir</w:t>
      </w:r>
      <w:proofErr w:type="gramEnd"/>
      <w:r>
        <w:rPr>
          <w:rFonts w:ascii="Calibri" w:hAnsi="Calibri"/>
          <w:color w:val="1C283D"/>
          <w:sz w:val="22"/>
          <w:szCs w:val="22"/>
        </w:rPr>
        <w:t>.</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Bir puan türü ile ortak programa yerleşen adayların aynı yükseköğretim kurumu içinde farklı puan türü ile öğrenci kabul eden diploma programlarına geçişleri, bu Yönetmeliğin kurum içi yatay geçiş hükümlerine göre yapılır. </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DÖRDÜNCÜ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Kurumlar Arası Yatay Geçiş</w:t>
      </w:r>
    </w:p>
    <w:p w:rsidR="00CC27C7" w:rsidRDefault="00CC27C7" w:rsidP="00CC27C7">
      <w:pPr>
        <w:spacing w:line="240" w:lineRule="atLeast"/>
        <w:ind w:firstLine="567"/>
        <w:jc w:val="both"/>
        <w:rPr>
          <w:color w:val="1C283D"/>
        </w:rPr>
      </w:pPr>
      <w:r>
        <w:rPr>
          <w:rFonts w:ascii="Calibri" w:hAnsi="Calibri"/>
          <w:b/>
          <w:bCs/>
          <w:color w:val="1C283D"/>
          <w:sz w:val="22"/>
          <w:szCs w:val="22"/>
        </w:rPr>
        <w:t>Kurumlar arası yatay geçiş</w:t>
      </w:r>
    </w:p>
    <w:p w:rsidR="00CC27C7" w:rsidRDefault="00CC27C7" w:rsidP="00CC27C7">
      <w:pPr>
        <w:spacing w:line="240" w:lineRule="atLeast"/>
        <w:ind w:firstLine="567"/>
        <w:jc w:val="both"/>
        <w:rPr>
          <w:color w:val="1C283D"/>
        </w:rPr>
      </w:pPr>
      <w:r>
        <w:rPr>
          <w:rFonts w:ascii="Calibri" w:hAnsi="Calibri"/>
          <w:b/>
          <w:bCs/>
          <w:color w:val="1C283D"/>
          <w:sz w:val="22"/>
          <w:szCs w:val="22"/>
        </w:rPr>
        <w:t>MADDE 11</w:t>
      </w:r>
      <w:r>
        <w:rPr>
          <w:rFonts w:ascii="Calibri" w:hAnsi="Calibri"/>
          <w:color w:val="1C283D"/>
          <w:sz w:val="22"/>
          <w:szCs w:val="22"/>
        </w:rPr>
        <w:t xml:space="preserve"> – (1) Kurumlar arası yatay geçiş yükseköğretim kurumlarının aynı düzeydeki eşdeğer diploma programları arasında ve Yükseköğretim Kurulu tarafından yayınlanan kontenjanlar çerçevesinde yapılır.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Kurumlar arası yatay geçiş için öğrencinin, kayıtlı olduğu programda bitirmiş olduğu dönemlere ait genel not ortalamasının en az 100 üzerinden 60 olması şarttır.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İkinci fıkradaki başarı şartını sağlayamayan ancak merkezi yerleştirme puanı geçiş yapmak istediği diploma programının taban puanına eşit veya yüksek olan adaylar yatay geçiş başvurusu yapabilir. </w:t>
      </w:r>
      <w:r>
        <w:rPr>
          <w:rFonts w:ascii="Calibri" w:hAnsi="Calibri"/>
          <w:b/>
          <w:bCs/>
          <w:color w:val="1C283D"/>
          <w:sz w:val="22"/>
          <w:szCs w:val="22"/>
        </w:rPr>
        <w:t xml:space="preserve">(Mülga son </w:t>
      </w:r>
      <w:proofErr w:type="gramStart"/>
      <w:r>
        <w:rPr>
          <w:rFonts w:ascii="Calibri" w:hAnsi="Calibri"/>
          <w:b/>
          <w:bCs/>
          <w:color w:val="1C283D"/>
          <w:sz w:val="22"/>
          <w:szCs w:val="22"/>
        </w:rPr>
        <w:t>cümle:RG</w:t>
      </w:r>
      <w:proofErr w:type="gramEnd"/>
      <w:r>
        <w:rPr>
          <w:rFonts w:ascii="Calibri" w:hAnsi="Calibri"/>
          <w:b/>
          <w:bCs/>
          <w:color w:val="1C283D"/>
          <w:sz w:val="22"/>
          <w:szCs w:val="22"/>
        </w:rPr>
        <w:t>-21/9/2013-28772)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Yükseköğretim kurumlarının belirlenen yatay geçiş kontenjanları ile başvuru ve değerlendirme takvimi, Yükseköğretim Kurulu internet sayfasında ilan edilir.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w:t>
      </w:r>
      <w:proofErr w:type="spellStart"/>
      <w:r>
        <w:rPr>
          <w:rFonts w:ascii="Calibri" w:hAnsi="Calibri"/>
          <w:color w:val="1C283D"/>
          <w:sz w:val="22"/>
          <w:szCs w:val="22"/>
        </w:rPr>
        <w:t>Önlisans</w:t>
      </w:r>
      <w:proofErr w:type="spellEnd"/>
      <w:r>
        <w:rPr>
          <w:rFonts w:ascii="Calibri" w:hAnsi="Calibri"/>
          <w:color w:val="1C283D"/>
          <w:sz w:val="22"/>
          <w:szCs w:val="22"/>
        </w:rPr>
        <w:t xml:space="preserve"> derecesi verilen diploma programlarında yatay geçiş kontenjanları ile başvuru ve değerlendirme takvimi ikinci yarıyıl için Ocak ayı, üçüncü yarıyıl için ise Temmuz ayı içinde ilan edilir. </w:t>
      </w:r>
    </w:p>
    <w:p w:rsidR="00CC27C7" w:rsidRDefault="00CC27C7" w:rsidP="00CC27C7">
      <w:pPr>
        <w:spacing w:line="240" w:lineRule="atLeast"/>
        <w:ind w:firstLine="567"/>
        <w:jc w:val="both"/>
        <w:rPr>
          <w:color w:val="1C283D"/>
        </w:rPr>
      </w:pPr>
      <w:r>
        <w:rPr>
          <w:rFonts w:ascii="Calibri" w:hAnsi="Calibri"/>
          <w:color w:val="1C283D"/>
          <w:sz w:val="22"/>
          <w:szCs w:val="22"/>
        </w:rPr>
        <w:t>(6) Lisans derecesi verilen diploma programlarında; dört yıllık eğitim verenlerde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Temmuz ayı içinde ilan edilir.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(7) Her yıl düzenli olarak ikinci, üçüncü, dördüncü ve beşinci sınıflar için, ÖSYM giriş genel kontenjanı 50 ve 50’den az olan diploma programlarda iki, 51 ve 100 arası olan programlarda üç, 101 ve üzerinde olan diploma programlarda ise dört </w:t>
      </w:r>
      <w:proofErr w:type="spellStart"/>
      <w:r>
        <w:rPr>
          <w:rFonts w:ascii="Calibri" w:hAnsi="Calibri"/>
          <w:color w:val="1C283D"/>
          <w:sz w:val="22"/>
          <w:szCs w:val="22"/>
        </w:rPr>
        <w:t>kurumlararası</w:t>
      </w:r>
      <w:proofErr w:type="spellEnd"/>
      <w:r>
        <w:rPr>
          <w:rFonts w:ascii="Calibri" w:hAnsi="Calibri"/>
          <w:color w:val="1C283D"/>
          <w:sz w:val="22"/>
          <w:szCs w:val="22"/>
        </w:rPr>
        <w:t xml:space="preserve">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w:t>
      </w:r>
      <w:proofErr w:type="spellStart"/>
      <w:r>
        <w:rPr>
          <w:rFonts w:ascii="Calibri" w:hAnsi="Calibri"/>
          <w:color w:val="1C283D"/>
          <w:sz w:val="22"/>
          <w:szCs w:val="22"/>
        </w:rPr>
        <w:t>Önlisans</w:t>
      </w:r>
      <w:proofErr w:type="spellEnd"/>
      <w:r>
        <w:rPr>
          <w:rFonts w:ascii="Calibri" w:hAnsi="Calibri"/>
          <w:color w:val="1C283D"/>
          <w:sz w:val="22"/>
          <w:szCs w:val="22"/>
        </w:rPr>
        <w:t xml:space="preserve"> diploma programları için ikinci yarıyılda açılması istenen ilave yatay geçiş kontenjanları ise ilgili kurul tarafından belirlenerek, en geç Aralık ayının otuz birinci günü mesai saati bitimine kadar Yükseköğretim Kuruluna bildirilir.</w:t>
      </w:r>
    </w:p>
    <w:p w:rsidR="00CC27C7" w:rsidRDefault="00CC27C7" w:rsidP="00CC27C7">
      <w:pPr>
        <w:spacing w:line="240" w:lineRule="atLeast"/>
        <w:ind w:firstLine="567"/>
        <w:jc w:val="both"/>
        <w:rPr>
          <w:color w:val="1C283D"/>
        </w:rPr>
      </w:pPr>
      <w:r>
        <w:rPr>
          <w:rFonts w:ascii="Calibri" w:hAnsi="Calibri"/>
          <w:color w:val="1C283D"/>
          <w:sz w:val="22"/>
          <w:szCs w:val="22"/>
        </w:rPr>
        <w:t> (8)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(9) Kontenjan sınırlaması bulunmayan açık veya uzaktan öğretim programlarına yatay geçiş yapmak isteyen öğrenciler, Eylül ayının ilk haftasının son günü mesai saati bitimine kadar ilgili yükseköğretim kurumuna başvuruda bulunurlar.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(10)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 xml:space="preserve">-2/5/2014-28988) </w:t>
      </w:r>
      <w:r>
        <w:rPr>
          <w:rFonts w:ascii="Calibri" w:hAnsi="Calibri"/>
          <w:color w:val="1C283D"/>
          <w:sz w:val="22"/>
          <w:szCs w:val="22"/>
        </w:rPr>
        <w:t>Yatay geçişle gelen öğrencilerin önceki diploma programından aldığı ve başarılı olduğu derslerin intibakının yapılarak, bu derslere ilişkin daha önce alınan notların transkripte işlenmesi gerekir.</w:t>
      </w:r>
    </w:p>
    <w:p w:rsidR="00CC27C7" w:rsidRDefault="00CC27C7" w:rsidP="00CC27C7">
      <w:pPr>
        <w:spacing w:line="240" w:lineRule="atLeast"/>
        <w:ind w:firstLine="567"/>
        <w:jc w:val="both"/>
        <w:rPr>
          <w:color w:val="1C283D"/>
        </w:rPr>
      </w:pPr>
      <w:r>
        <w:rPr>
          <w:rFonts w:ascii="Calibri" w:hAnsi="Calibri"/>
          <w:b/>
          <w:bCs/>
          <w:color w:val="1C283D"/>
          <w:sz w:val="22"/>
          <w:szCs w:val="22"/>
        </w:rPr>
        <w:t>Değerlendirme</w:t>
      </w:r>
    </w:p>
    <w:p w:rsidR="00CC27C7" w:rsidRDefault="00CC27C7" w:rsidP="00CC27C7">
      <w:pPr>
        <w:spacing w:line="240" w:lineRule="atLeast"/>
        <w:ind w:firstLine="567"/>
        <w:jc w:val="both"/>
        <w:rPr>
          <w:color w:val="1C283D"/>
        </w:rPr>
      </w:pPr>
      <w:r>
        <w:rPr>
          <w:rFonts w:ascii="Calibri" w:hAnsi="Calibri"/>
          <w:b/>
          <w:bCs/>
          <w:color w:val="1C283D"/>
          <w:sz w:val="22"/>
          <w:szCs w:val="22"/>
        </w:rPr>
        <w:t>MADDE 12</w:t>
      </w:r>
      <w:r>
        <w:rPr>
          <w:rFonts w:ascii="Calibri" w:hAnsi="Calibri"/>
          <w:color w:val="1C283D"/>
          <w:sz w:val="22"/>
          <w:szCs w:val="22"/>
        </w:rPr>
        <w:t xml:space="preserve"> – (1) Kurumlar arası yatay geçiş değerlendirme sonuçları, geçerli başvurusu olan tüm adayların isimleri, değerlendirmede esas alınan puanlara göre sıralanmış biçimde ilgili </w:t>
      </w:r>
      <w:proofErr w:type="gramStart"/>
      <w:r>
        <w:rPr>
          <w:rFonts w:ascii="Calibri" w:hAnsi="Calibri"/>
          <w:color w:val="1C283D"/>
          <w:sz w:val="22"/>
          <w:szCs w:val="22"/>
        </w:rPr>
        <w:t>yüksek öğretim</w:t>
      </w:r>
      <w:proofErr w:type="gramEnd"/>
      <w:r>
        <w:rPr>
          <w:rFonts w:ascii="Calibri" w:hAnsi="Calibri"/>
          <w:color w:val="1C283D"/>
          <w:sz w:val="22"/>
          <w:szCs w:val="22"/>
        </w:rPr>
        <w:t xml:space="preserve"> kurumunun internet sayfasında ilan edilir.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w:t>
      </w:r>
      <w:proofErr w:type="gramStart"/>
      <w:r>
        <w:rPr>
          <w:rFonts w:ascii="Calibri" w:hAnsi="Calibri"/>
          <w:color w:val="1C283D"/>
          <w:sz w:val="22"/>
          <w:szCs w:val="22"/>
        </w:rPr>
        <w:t>kriterlere</w:t>
      </w:r>
      <w:proofErr w:type="gramEnd"/>
      <w:r>
        <w:rPr>
          <w:rFonts w:ascii="Calibri" w:hAnsi="Calibri"/>
          <w:color w:val="1C283D"/>
          <w:sz w:val="22"/>
          <w:szCs w:val="22"/>
        </w:rPr>
        <w:t xml:space="preserve"> göre değerlendirilir ve ayrılan kontenjana göre geçiş sağlanır.  </w:t>
      </w:r>
    </w:p>
    <w:p w:rsidR="00CC27C7" w:rsidRDefault="00CC27C7" w:rsidP="00CC27C7">
      <w:pPr>
        <w:spacing w:line="240" w:lineRule="atLeast"/>
        <w:ind w:firstLine="567"/>
        <w:jc w:val="both"/>
        <w:rPr>
          <w:color w:val="1C283D"/>
        </w:rPr>
      </w:pPr>
      <w:r>
        <w:rPr>
          <w:rFonts w:ascii="Calibri" w:hAnsi="Calibri"/>
          <w:color w:val="1C283D"/>
          <w:sz w:val="22"/>
          <w:szCs w:val="22"/>
        </w:rPr>
        <w:t> (3) 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CC27C7" w:rsidRDefault="00CC27C7" w:rsidP="00CC27C7">
      <w:pPr>
        <w:spacing w:line="240" w:lineRule="atLeast"/>
        <w:ind w:firstLine="567"/>
        <w:jc w:val="both"/>
        <w:rPr>
          <w:color w:val="1C283D"/>
        </w:rPr>
      </w:pPr>
      <w:r>
        <w:rPr>
          <w:rFonts w:ascii="Calibri" w:hAnsi="Calibri"/>
          <w:b/>
          <w:bCs/>
          <w:color w:val="1C283D"/>
          <w:sz w:val="22"/>
          <w:szCs w:val="22"/>
        </w:rPr>
        <w:t>Diğer yükseköğretim kurumlarından yatay geçiş</w:t>
      </w:r>
    </w:p>
    <w:p w:rsidR="00CC27C7" w:rsidRDefault="00CC27C7" w:rsidP="00CC27C7">
      <w:pPr>
        <w:spacing w:line="240" w:lineRule="atLeast"/>
        <w:ind w:firstLine="567"/>
        <w:jc w:val="both"/>
        <w:rPr>
          <w:color w:val="1C283D"/>
        </w:rPr>
      </w:pPr>
      <w:r>
        <w:rPr>
          <w:rFonts w:ascii="Calibri" w:hAnsi="Calibri"/>
          <w:b/>
          <w:bCs/>
          <w:color w:val="1C283D"/>
          <w:sz w:val="22"/>
          <w:szCs w:val="22"/>
        </w:rPr>
        <w:t>MADDE 13</w:t>
      </w:r>
      <w:r>
        <w:rPr>
          <w:rFonts w:ascii="Calibri" w:hAnsi="Calibri"/>
          <w:color w:val="1C283D"/>
          <w:sz w:val="22"/>
          <w:szCs w:val="22"/>
        </w:rPr>
        <w:t xml:space="preserve"> – (1) Türk Silahlı Kuvvetleri ile Polis Akademisi ve bağlı yükseköğretim kurumlarında </w:t>
      </w:r>
      <w:proofErr w:type="spellStart"/>
      <w:r>
        <w:rPr>
          <w:rFonts w:ascii="Calibri" w:hAnsi="Calibri"/>
          <w:color w:val="1C283D"/>
          <w:sz w:val="22"/>
          <w:szCs w:val="22"/>
        </w:rPr>
        <w:t>önlisans</w:t>
      </w:r>
      <w:proofErr w:type="spellEnd"/>
      <w:r>
        <w:rPr>
          <w:rFonts w:ascii="Calibri" w:hAnsi="Calibri"/>
          <w:color w:val="1C283D"/>
          <w:sz w:val="22"/>
          <w:szCs w:val="22"/>
        </w:rPr>
        <w:t xml:space="preserve"> ve lisans düzeyinde öğretime devam eden öğrenciler kendi özel kanunlarınca düzenlenen hükümler çerçevesinde ve bu Yönetmeliğin konuyla ilgili hükümlerine uygun olarak diğer yükseköğretim kurumlarına yatay geçiş yapabilirler.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Bu kurumlardan 13/1/1985 tarihli ve 18634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Yükseköğretim Kurumları Öğrenci Disiplin Yönetmeliğinin 10 uncu maddesinde sayılan fiiller nedeniyle, başarısızlık veya disiplinsizlik nedeni ile ilişiği kesilenler diğer yükseköğretim kurumlarına yatay geçiş için başvuramazlar.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w:t>
      </w:r>
      <w:proofErr w:type="spellStart"/>
      <w:r>
        <w:rPr>
          <w:rFonts w:ascii="Calibri" w:hAnsi="Calibri"/>
          <w:color w:val="1C283D"/>
          <w:sz w:val="22"/>
          <w:szCs w:val="22"/>
        </w:rPr>
        <w:t>kurumlararası</w:t>
      </w:r>
      <w:proofErr w:type="spellEnd"/>
      <w:r>
        <w:rPr>
          <w:rFonts w:ascii="Calibri" w:hAnsi="Calibri"/>
          <w:color w:val="1C283D"/>
          <w:sz w:val="22"/>
          <w:szCs w:val="22"/>
        </w:rPr>
        <w:t xml:space="preserve"> yatay geçiş hükümlerine göre değerlendirilir.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-16/8/2011-28027)</w:t>
      </w:r>
      <w:r>
        <w:rPr>
          <w:rFonts w:ascii="Calibri" w:hAnsi="Calibri"/>
          <w:color w:val="1C283D"/>
          <w:sz w:val="22"/>
          <w:szCs w:val="22"/>
        </w:rPr>
        <w:t xml:space="preserve"> Gülhane Askeri Tıp Akademisi Tıp Fakültesinin 5 ve 6 </w:t>
      </w:r>
      <w:proofErr w:type="spellStart"/>
      <w:r>
        <w:rPr>
          <w:rFonts w:ascii="Calibri" w:hAnsi="Calibri"/>
          <w:color w:val="1C283D"/>
          <w:sz w:val="22"/>
          <w:szCs w:val="22"/>
        </w:rPr>
        <w:t>ncı</w:t>
      </w:r>
      <w:proofErr w:type="spellEnd"/>
      <w:r>
        <w:rPr>
          <w:rFonts w:ascii="Calibri" w:hAnsi="Calibri"/>
          <w:color w:val="1C283D"/>
          <w:sz w:val="22"/>
          <w:szCs w:val="22"/>
        </w:rPr>
        <w:t xml:space="preserve"> sınıfından başarısızlık hariç sağlık sorunları nedeniyle askeri öğrenci vasfını kaybettiği için ilişiği kesilenlerin yükseköğretim kurumları tıp fakültesine yerleştirme işlemleri Yükseköğretim Kurulu tarafından yapılır.</w:t>
      </w:r>
    </w:p>
    <w:p w:rsidR="00CC27C7" w:rsidRDefault="00CC27C7" w:rsidP="00CC27C7">
      <w:pPr>
        <w:spacing w:line="240" w:lineRule="atLeast"/>
        <w:ind w:firstLine="567"/>
        <w:jc w:val="both"/>
        <w:rPr>
          <w:color w:val="1C283D"/>
        </w:rPr>
      </w:pPr>
      <w:r>
        <w:rPr>
          <w:rFonts w:ascii="Calibri" w:hAnsi="Calibri"/>
          <w:b/>
          <w:bCs/>
          <w:color w:val="1C283D"/>
          <w:sz w:val="22"/>
          <w:szCs w:val="22"/>
        </w:rPr>
        <w:t>Yurtdışı yükseköğretim kurumlarından yurtiçindekilere yatay geçiş</w:t>
      </w:r>
    </w:p>
    <w:p w:rsidR="00CC27C7" w:rsidRDefault="00CC27C7" w:rsidP="00CC27C7">
      <w:pPr>
        <w:spacing w:line="240" w:lineRule="atLeast"/>
        <w:ind w:firstLine="567"/>
        <w:jc w:val="both"/>
        <w:rPr>
          <w:color w:val="1C283D"/>
        </w:rPr>
      </w:pPr>
      <w:r>
        <w:rPr>
          <w:rFonts w:ascii="Calibri" w:hAnsi="Calibri"/>
          <w:b/>
          <w:bCs/>
          <w:color w:val="1C283D"/>
          <w:sz w:val="22"/>
          <w:szCs w:val="22"/>
        </w:rPr>
        <w:t>MADDE 14</w:t>
      </w:r>
      <w:r>
        <w:rPr>
          <w:rFonts w:ascii="Calibri" w:hAnsi="Calibri"/>
          <w:color w:val="1C283D"/>
          <w:sz w:val="22"/>
          <w:szCs w:val="22"/>
        </w:rPr>
        <w:t xml:space="preserve"> – (1) Üniversite senatoları tarafından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 (2) Yabancı ülkelerdeki yükseköğretim kurumlarından yurt içindeki yükseköğretim kurumlarına geçiş için, öğrencinin bu Yönetmeliğin 12 </w:t>
      </w:r>
      <w:proofErr w:type="spellStart"/>
      <w:r>
        <w:rPr>
          <w:rFonts w:ascii="Calibri" w:hAnsi="Calibri"/>
          <w:color w:val="1C283D"/>
          <w:sz w:val="22"/>
          <w:szCs w:val="22"/>
        </w:rPr>
        <w:t>nci</w:t>
      </w:r>
      <w:proofErr w:type="spellEnd"/>
      <w:r>
        <w:rPr>
          <w:rFonts w:ascii="Calibri" w:hAnsi="Calibri"/>
          <w:color w:val="1C283D"/>
          <w:sz w:val="22"/>
          <w:szCs w:val="22"/>
        </w:rPr>
        <w:t xml:space="preserve"> maddesinin ikinci fıkrasında belirlenen kurumlar arası yatay geçiş başarı şartları aranır.</w:t>
      </w:r>
    </w:p>
    <w:p w:rsidR="00CC27C7" w:rsidRDefault="00CC27C7" w:rsidP="00CC27C7">
      <w:pPr>
        <w:spacing w:line="240" w:lineRule="atLeast"/>
        <w:ind w:firstLine="567"/>
        <w:jc w:val="both"/>
        <w:rPr>
          <w:color w:val="1C283D"/>
        </w:rPr>
      </w:pPr>
      <w:r>
        <w:rPr>
          <w:rFonts w:ascii="Calibri" w:hAnsi="Calibri"/>
          <w:color w:val="1C283D"/>
          <w:sz w:val="22"/>
          <w:szCs w:val="22"/>
        </w:rPr>
        <w:t>(3)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CC27C7" w:rsidRDefault="00CC27C7" w:rsidP="00CC27C7">
      <w:pPr>
        <w:spacing w:line="240" w:lineRule="atLeast"/>
        <w:ind w:firstLine="567"/>
        <w:jc w:val="both"/>
        <w:rPr>
          <w:color w:val="1C283D"/>
        </w:rPr>
      </w:pPr>
      <w:r>
        <w:rPr>
          <w:rFonts w:ascii="Calibri" w:hAnsi="Calibri"/>
          <w:color w:val="1C283D"/>
          <w:sz w:val="22"/>
          <w:szCs w:val="22"/>
        </w:rPr>
        <w:t> </w:t>
      </w:r>
      <w:proofErr w:type="gramStart"/>
      <w:r>
        <w:rPr>
          <w:rFonts w:ascii="Calibri" w:hAnsi="Calibri"/>
          <w:color w:val="1C283D"/>
          <w:sz w:val="22"/>
          <w:szCs w:val="22"/>
        </w:rPr>
        <w:t xml:space="preserve">(4)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Pr>
          <w:rFonts w:ascii="Calibri" w:hAnsi="Calibri"/>
          <w:color w:val="1C283D"/>
          <w:sz w:val="22"/>
          <w:szCs w:val="22"/>
        </w:rPr>
        <w:t>önlisans</w:t>
      </w:r>
      <w:proofErr w:type="spellEnd"/>
      <w:r>
        <w:rPr>
          <w:rFonts w:ascii="Calibri" w:hAnsi="Calibri"/>
          <w:color w:val="1C283D"/>
          <w:sz w:val="22"/>
          <w:szCs w:val="22"/>
        </w:rPr>
        <w:t xml:space="preserve"> veya lisans diploma programına eşdeğerliğinin ilgili üniversite tarafından kabul edilmesi şartı aranır.</w:t>
      </w:r>
      <w:proofErr w:type="gramEnd"/>
    </w:p>
    <w:p w:rsidR="00CC27C7" w:rsidRDefault="00CC27C7" w:rsidP="00CC27C7">
      <w:pPr>
        <w:spacing w:line="240" w:lineRule="atLeast"/>
        <w:ind w:firstLine="567"/>
        <w:jc w:val="both"/>
        <w:rPr>
          <w:color w:val="1C283D"/>
        </w:rPr>
      </w:pPr>
      <w:r>
        <w:rPr>
          <w:rFonts w:ascii="Calibri" w:hAnsi="Calibri"/>
          <w:color w:val="1C283D"/>
          <w:sz w:val="22"/>
          <w:szCs w:val="22"/>
        </w:rPr>
        <w:t> (5) 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rsidR="00CC27C7" w:rsidRDefault="00CC27C7" w:rsidP="00CC27C7">
      <w:pPr>
        <w:spacing w:line="240" w:lineRule="atLeast"/>
        <w:ind w:firstLine="567"/>
        <w:jc w:val="both"/>
        <w:rPr>
          <w:color w:val="1C283D"/>
        </w:rPr>
      </w:pPr>
      <w:r>
        <w:rPr>
          <w:rFonts w:ascii="Calibri" w:hAnsi="Calibri"/>
          <w:b/>
          <w:bCs/>
          <w:color w:val="1C283D"/>
          <w:sz w:val="22"/>
          <w:szCs w:val="22"/>
        </w:rPr>
        <w:t>Yabancı uyruklu öğrenciler</w:t>
      </w:r>
    </w:p>
    <w:p w:rsidR="00CC27C7" w:rsidRDefault="00CC27C7" w:rsidP="00CC27C7">
      <w:pPr>
        <w:spacing w:line="240" w:lineRule="atLeast"/>
        <w:ind w:firstLine="567"/>
        <w:jc w:val="both"/>
        <w:rPr>
          <w:color w:val="1C283D"/>
        </w:rPr>
      </w:pPr>
      <w:r>
        <w:rPr>
          <w:rFonts w:ascii="Calibri" w:hAnsi="Calibri"/>
          <w:b/>
          <w:bCs/>
          <w:color w:val="1C283D"/>
          <w:sz w:val="22"/>
          <w:szCs w:val="22"/>
        </w:rPr>
        <w:t>MADDE 15</w:t>
      </w:r>
      <w:r>
        <w:rPr>
          <w:rFonts w:ascii="Calibri" w:hAnsi="Calibri"/>
          <w:color w:val="1C283D"/>
          <w:sz w:val="22"/>
          <w:szCs w:val="22"/>
        </w:rPr>
        <w:t xml:space="preserve"> – (1) Yükseköğretim Kurulu tarafından belirlenen yabancı ülkelerden gelecek o ülkenin uyrukluğunda bulunan yabancı öğrencilerin kontenjanı bu Yönetmeliğin 14 üncü maddesinin birinci fıkrasında belirtilen sınırlamaya tabi değildir.</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BEŞİNCİ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 xml:space="preserve">Çift </w:t>
      </w:r>
      <w:proofErr w:type="spellStart"/>
      <w:r>
        <w:rPr>
          <w:rFonts w:ascii="Calibri" w:hAnsi="Calibri"/>
          <w:b/>
          <w:bCs/>
          <w:color w:val="1C283D"/>
          <w:sz w:val="22"/>
          <w:szCs w:val="22"/>
        </w:rPr>
        <w:t>Anadal</w:t>
      </w:r>
      <w:proofErr w:type="spellEnd"/>
      <w:r>
        <w:rPr>
          <w:rFonts w:ascii="Calibri" w:hAnsi="Calibri"/>
          <w:b/>
          <w:bCs/>
          <w:color w:val="1C283D"/>
          <w:sz w:val="22"/>
          <w:szCs w:val="22"/>
        </w:rPr>
        <w:t xml:space="preserve">, </w:t>
      </w:r>
      <w:proofErr w:type="spellStart"/>
      <w:r>
        <w:rPr>
          <w:rFonts w:ascii="Calibri" w:hAnsi="Calibri"/>
          <w:b/>
          <w:bCs/>
          <w:color w:val="1C283D"/>
          <w:sz w:val="22"/>
          <w:szCs w:val="22"/>
        </w:rPr>
        <w:t>Yandal</w:t>
      </w:r>
      <w:proofErr w:type="spellEnd"/>
      <w:r>
        <w:rPr>
          <w:rFonts w:ascii="Calibri" w:hAnsi="Calibri"/>
          <w:b/>
          <w:bCs/>
          <w:color w:val="1C283D"/>
          <w:sz w:val="22"/>
          <w:szCs w:val="22"/>
        </w:rPr>
        <w:t xml:space="preserve"> ve Kurumlar Arası Kredi Transferi</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Çift </w:t>
      </w:r>
      <w:proofErr w:type="spellStart"/>
      <w:r>
        <w:rPr>
          <w:rFonts w:ascii="Calibri" w:hAnsi="Calibri"/>
          <w:b/>
          <w:bCs/>
          <w:color w:val="1C283D"/>
          <w:sz w:val="22"/>
          <w:szCs w:val="22"/>
        </w:rPr>
        <w:t>anadal</w:t>
      </w:r>
      <w:proofErr w:type="spellEnd"/>
      <w:r>
        <w:rPr>
          <w:rFonts w:ascii="Calibri" w:hAnsi="Calibri"/>
          <w:b/>
          <w:bCs/>
          <w:color w:val="1C283D"/>
          <w:sz w:val="22"/>
          <w:szCs w:val="22"/>
        </w:rPr>
        <w:t xml:space="preserve"> programı</w:t>
      </w:r>
    </w:p>
    <w:p w:rsidR="00CC27C7" w:rsidRDefault="00CC27C7" w:rsidP="00CC27C7">
      <w:pPr>
        <w:spacing w:line="240" w:lineRule="atLeast"/>
        <w:ind w:firstLine="567"/>
        <w:jc w:val="both"/>
        <w:rPr>
          <w:color w:val="1C283D"/>
        </w:rPr>
      </w:pPr>
      <w:r>
        <w:rPr>
          <w:rFonts w:ascii="Calibri" w:hAnsi="Calibri"/>
          <w:b/>
          <w:bCs/>
          <w:color w:val="1C283D"/>
          <w:sz w:val="22"/>
          <w:szCs w:val="22"/>
        </w:rPr>
        <w:t>MADDE 16</w:t>
      </w:r>
      <w:r>
        <w:rPr>
          <w:rFonts w:ascii="Calibri" w:hAnsi="Calibri"/>
          <w:color w:val="1C283D"/>
          <w:sz w:val="22"/>
          <w:szCs w:val="22"/>
        </w:rPr>
        <w:t xml:space="preserve"> – (1) Aynı yükseköğretim kurumunda yürütülen lisans diploma programları arasında ilgili bölümlerin ve fakülte kurullarının önerisi üzerine senatonun onayı ile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 açılabilir.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Öğrencilerin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kabulü, o programın yürütüldüğü ilgili bölümün önerisi üzerine Fakülte Yönetim Kurulunun onayı ile yapılır.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Aynı anda birden fazla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kayıt yapılamaz. Ancak, aynı anda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ile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kayıt yapılabilir.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programındaki öğrenci,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 kurum içi geçiş hükümlerine uygun koşulları sağladığında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yatay geçiş yapabilir.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Yetenek sınavı ile öğrenci alan çift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öğrenci kabulünde yetenek sınavında da başarılı olma şartı aranır.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(6)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 xml:space="preserve">-16/8/2011-28027) </w:t>
      </w:r>
      <w:r>
        <w:rPr>
          <w:rFonts w:ascii="Calibri" w:hAnsi="Calibri"/>
          <w:color w:val="1C283D"/>
          <w:sz w:val="22"/>
          <w:szCs w:val="22"/>
        </w:rPr>
        <w:t xml:space="preserve">Öğrencinin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 alması gereken dersler ve kredileri Yükseköğretim Kurulu tarafından belirlenen Yükseköğretim Alan Yeterlilikleri dikkate alınarak ilgili bölümlerin ve fakülte kurullarının önerisi üzerine senatonun onayı ile belirlenir. İlgili çift </w:t>
      </w:r>
      <w:proofErr w:type="spellStart"/>
      <w:r>
        <w:rPr>
          <w:rFonts w:ascii="Calibri" w:hAnsi="Calibri"/>
          <w:color w:val="1C283D"/>
          <w:sz w:val="22"/>
          <w:szCs w:val="22"/>
        </w:rPr>
        <w:t>anadal</w:t>
      </w:r>
      <w:proofErr w:type="spellEnd"/>
      <w:r>
        <w:rPr>
          <w:rFonts w:ascii="Calibri" w:hAnsi="Calibri"/>
          <w:color w:val="1C283D"/>
          <w:sz w:val="22"/>
          <w:szCs w:val="22"/>
        </w:rPr>
        <w:t xml:space="preserve"> lisans programının, öğrencinin programın sonunda asgari olarak kazanması gereken bilgi, beceri ve yetkinliklere göre tanımlanmış öğrenim kazanımlarına sahip olmasını sağlayacak şekilde düzenlenmesi gerekir.</w:t>
      </w:r>
    </w:p>
    <w:p w:rsidR="00CC27C7" w:rsidRDefault="00CC27C7" w:rsidP="00CC27C7">
      <w:pPr>
        <w:spacing w:line="240" w:lineRule="atLeast"/>
        <w:ind w:firstLine="567"/>
        <w:jc w:val="both"/>
        <w:rPr>
          <w:color w:val="1C283D"/>
        </w:rPr>
      </w:pPr>
      <w:r>
        <w:rPr>
          <w:rFonts w:ascii="Calibri" w:hAnsi="Calibri"/>
          <w:b/>
          <w:bCs/>
          <w:color w:val="1C283D"/>
          <w:sz w:val="22"/>
          <w:szCs w:val="22"/>
        </w:rPr>
        <w:t>Başvuru süresi</w:t>
      </w:r>
    </w:p>
    <w:p w:rsidR="00CC27C7" w:rsidRDefault="00CC27C7" w:rsidP="00CC27C7">
      <w:pPr>
        <w:spacing w:line="240" w:lineRule="atLeast"/>
        <w:ind w:firstLine="567"/>
        <w:jc w:val="both"/>
        <w:rPr>
          <w:color w:val="1C283D"/>
        </w:rPr>
      </w:pPr>
      <w:r>
        <w:rPr>
          <w:rFonts w:ascii="Calibri" w:hAnsi="Calibri"/>
          <w:b/>
          <w:bCs/>
          <w:color w:val="1C283D"/>
          <w:sz w:val="22"/>
          <w:szCs w:val="22"/>
        </w:rPr>
        <w:t>MADDE 17</w:t>
      </w:r>
      <w:r>
        <w:rPr>
          <w:rFonts w:ascii="Calibri" w:hAnsi="Calibri"/>
          <w:color w:val="1C283D"/>
          <w:sz w:val="22"/>
          <w:szCs w:val="22"/>
        </w:rPr>
        <w:t xml:space="preserve"> – (1)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-2/5/2014-28988)</w:t>
      </w:r>
      <w:r>
        <w:rPr>
          <w:rFonts w:ascii="Calibri" w:hAnsi="Calibri"/>
          <w:color w:val="1C283D"/>
          <w:sz w:val="22"/>
          <w:szCs w:val="22"/>
        </w:rPr>
        <w:t xml:space="preserve"> Öğrenci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programının en erken üçüncü yarıyılın başında, en geç ise dört yıllık programlarda beşinci yarıyılın başında, beş yıllık programlarda yedinci yarıyılın başında, altı yıllık programlarda ise dokuzuncu yarıyılın başında başvurabilir.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-2/5/2014-28988)</w:t>
      </w:r>
      <w:r>
        <w:rPr>
          <w:rFonts w:ascii="Calibri" w:hAnsi="Calibri"/>
          <w:color w:val="1C283D"/>
          <w:sz w:val="22"/>
          <w:szCs w:val="22"/>
        </w:rPr>
        <w:t xml:space="preserve"> Başvuru anında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programındaki genel not ortalaması en az 100 üzerinden 70 olan ve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programının ilgili sınıfında başarı sıralaması itibari ile en üst %20’sinde bulunan öğrenciler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başvurabilirler. Ayrıca aşağıdaki şartlar uyarınca yükseköğretim kurumları kontenjan belirleyebilir ve öğrenciler de bu şartlar kapsamında başvuru yapabilir: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a) Çift </w:t>
      </w:r>
      <w:proofErr w:type="spellStart"/>
      <w:r>
        <w:rPr>
          <w:rFonts w:ascii="Calibri" w:hAnsi="Calibri"/>
          <w:color w:val="1C283D"/>
          <w:sz w:val="22"/>
          <w:szCs w:val="22"/>
        </w:rPr>
        <w:t>anadal</w:t>
      </w:r>
      <w:proofErr w:type="spellEnd"/>
      <w:r>
        <w:rPr>
          <w:rFonts w:ascii="Calibri" w:hAnsi="Calibri"/>
          <w:color w:val="1C283D"/>
          <w:sz w:val="22"/>
          <w:szCs w:val="22"/>
        </w:rPr>
        <w:t xml:space="preserve"> yapacak öğrencilerin kontenjanı,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programındaki genel not ortalaması en az 100 üzerinden 70 olmak şartıyla,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programının ilgili sınıfında başarı sıralaması %20 oranından az olmamak üzere üniversite senatolarınca belirlenir.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b) Hukuk, tıp ve sağlık programları ile mühendislik programları hariç olmak üzere, çift </w:t>
      </w:r>
      <w:proofErr w:type="spellStart"/>
      <w:r>
        <w:rPr>
          <w:rFonts w:ascii="Calibri" w:hAnsi="Calibri"/>
          <w:color w:val="1C283D"/>
          <w:sz w:val="22"/>
          <w:szCs w:val="22"/>
        </w:rPr>
        <w:t>anadal</w:t>
      </w:r>
      <w:proofErr w:type="spellEnd"/>
      <w:r>
        <w:rPr>
          <w:rFonts w:ascii="Calibri" w:hAnsi="Calibri"/>
          <w:color w:val="1C283D"/>
          <w:sz w:val="22"/>
          <w:szCs w:val="22"/>
        </w:rPr>
        <w:t xml:space="preserve"> yapılacak programların kontenjanları da programların kontenjanının %20’sinden az olmamak üzere üniversite senatolarınca belirlenir.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c)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programındaki genel not ortalaması en az 100 üzerinden 70 olan ancak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programının ilgili sınıfında başarı sıralaması itibari ile en üst %20’sinde yer almayan öğrencilerden çift </w:t>
      </w:r>
      <w:proofErr w:type="spellStart"/>
      <w:r>
        <w:rPr>
          <w:rFonts w:ascii="Calibri" w:hAnsi="Calibri"/>
          <w:color w:val="1C283D"/>
          <w:sz w:val="22"/>
          <w:szCs w:val="22"/>
        </w:rPr>
        <w:t>anadal</w:t>
      </w:r>
      <w:proofErr w:type="spellEnd"/>
      <w:r>
        <w:rPr>
          <w:rFonts w:ascii="Calibri" w:hAnsi="Calibri"/>
          <w:color w:val="1C283D"/>
          <w:sz w:val="22"/>
          <w:szCs w:val="22"/>
        </w:rPr>
        <w:t xml:space="preserve"> yapılacak programın ilgili yıldaki taban puanından az olmamak üzere puana sahip olanlar da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programına başvurabilirler.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Çift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başvurabilmesi için öğrencinin başvurduğu yarıyıla kadar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 aldığı tüm dersleri başarıyla tamamlaması gerekir.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Öğrencinin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programından mezun olabilmesi için genel not ortalamasının en az 100 üzerinden 70 olması gerekir. Tüm çift </w:t>
      </w:r>
      <w:proofErr w:type="spellStart"/>
      <w:r>
        <w:rPr>
          <w:rFonts w:ascii="Calibri" w:hAnsi="Calibri"/>
          <w:color w:val="1C283D"/>
          <w:sz w:val="22"/>
          <w:szCs w:val="22"/>
        </w:rPr>
        <w:t>anadal</w:t>
      </w:r>
      <w:proofErr w:type="spellEnd"/>
      <w:r>
        <w:rPr>
          <w:rFonts w:ascii="Calibri" w:hAnsi="Calibri"/>
          <w:color w:val="1C283D"/>
          <w:sz w:val="22"/>
          <w:szCs w:val="22"/>
        </w:rPr>
        <w:t xml:space="preserve"> öğrenimi süresince öğrencinin genel not ortalaması bir defaya mahsus olmak üzere 100 üzerinden 65’e kadar düşebilir. Genel not ortalaması ikinci kez 100 üzerinden 65’in altına düşen öğrencinin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programından kaydı silinir.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lisans programına devam eden öğrenciye mezuniyet diploması ancak devam ettiği birinci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programından mezun olması halinde verilebilir.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(6) Çift </w:t>
      </w:r>
      <w:proofErr w:type="spellStart"/>
      <w:r>
        <w:rPr>
          <w:rFonts w:ascii="Calibri" w:hAnsi="Calibri"/>
          <w:color w:val="1C283D"/>
          <w:sz w:val="22"/>
          <w:szCs w:val="22"/>
        </w:rPr>
        <w:t>anadal</w:t>
      </w:r>
      <w:proofErr w:type="spellEnd"/>
      <w:r>
        <w:rPr>
          <w:rFonts w:ascii="Calibri" w:hAnsi="Calibri"/>
          <w:color w:val="1C283D"/>
          <w:sz w:val="22"/>
          <w:szCs w:val="22"/>
        </w:rPr>
        <w:t xml:space="preserve"> ikinci diploma programında öğrenim gören öğrencinin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 almış olduğu ve eşdeğerlikleri kabul edilen dersler, not çizelgesinde gösterilir.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(7)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programından mezuniyet hakkını elde eden ancak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 bitiremeyen öğrencilerin öğrenim süresi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programının bulunduğu fakültenin yönetim kurulunun kararı ile en fazla iki yarıyıl uzatılabilir.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(8)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programından iki yarıyıl üst üste ders almayan öğrencinin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programından kaydı silinir.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(9)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-2/5/2014-28988)</w:t>
      </w:r>
      <w:r>
        <w:rPr>
          <w:rFonts w:ascii="Calibri" w:hAnsi="Calibri"/>
          <w:color w:val="1C283D"/>
          <w:sz w:val="22"/>
          <w:szCs w:val="22"/>
        </w:rPr>
        <w:t xml:space="preserve">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programından çıkarılan öğrencilerin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 almış oldukları derslerin ne şekilde değerlendirileceği, senato tarafından belirlenir. Öğrencinin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 kabul edilmeyen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 başarılı olduğu dersler, genel not ortalamasına </w:t>
      </w:r>
      <w:proofErr w:type="gramStart"/>
      <w:r>
        <w:rPr>
          <w:rFonts w:ascii="Calibri" w:hAnsi="Calibri"/>
          <w:color w:val="1C283D"/>
          <w:sz w:val="22"/>
          <w:szCs w:val="22"/>
        </w:rPr>
        <w:t>dahil</w:t>
      </w:r>
      <w:proofErr w:type="gramEnd"/>
      <w:r>
        <w:rPr>
          <w:rFonts w:ascii="Calibri" w:hAnsi="Calibri"/>
          <w:color w:val="1C283D"/>
          <w:sz w:val="22"/>
          <w:szCs w:val="22"/>
        </w:rPr>
        <w:t xml:space="preserve"> edilmeksizin transkript ve diploma ekinde yer alır.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(10)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-2/5/2014-28988)</w:t>
      </w:r>
      <w:r>
        <w:rPr>
          <w:rFonts w:ascii="Calibri" w:hAnsi="Calibri"/>
          <w:color w:val="1C283D"/>
          <w:sz w:val="22"/>
          <w:szCs w:val="22"/>
        </w:rPr>
        <w:t xml:space="preserve"> </w:t>
      </w:r>
    </w:p>
    <w:p w:rsidR="00CC27C7" w:rsidRDefault="00CC27C7" w:rsidP="00CC27C7">
      <w:pPr>
        <w:spacing w:line="240" w:lineRule="atLeast"/>
        <w:ind w:firstLine="567"/>
        <w:jc w:val="both"/>
        <w:rPr>
          <w:color w:val="1C283D"/>
        </w:rPr>
      </w:pPr>
      <w:proofErr w:type="spellStart"/>
      <w:r>
        <w:rPr>
          <w:rFonts w:ascii="Calibri" w:hAnsi="Calibri"/>
          <w:b/>
          <w:bCs/>
          <w:color w:val="1C283D"/>
          <w:sz w:val="22"/>
          <w:szCs w:val="22"/>
        </w:rPr>
        <w:t>Yandal</w:t>
      </w:r>
      <w:proofErr w:type="spellEnd"/>
      <w:r>
        <w:rPr>
          <w:rFonts w:ascii="Calibri" w:hAnsi="Calibri"/>
          <w:b/>
          <w:bCs/>
          <w:color w:val="1C283D"/>
          <w:sz w:val="22"/>
          <w:szCs w:val="22"/>
        </w:rPr>
        <w:t xml:space="preserve"> programı</w:t>
      </w:r>
    </w:p>
    <w:p w:rsidR="00CC27C7" w:rsidRDefault="00CC27C7" w:rsidP="00CC27C7">
      <w:pPr>
        <w:spacing w:line="240" w:lineRule="atLeast"/>
        <w:ind w:firstLine="567"/>
        <w:jc w:val="both"/>
        <w:rPr>
          <w:color w:val="1C283D"/>
        </w:rPr>
      </w:pPr>
      <w:r>
        <w:rPr>
          <w:rFonts w:ascii="Calibri" w:hAnsi="Calibri"/>
          <w:b/>
          <w:bCs/>
          <w:color w:val="1C283D"/>
          <w:sz w:val="22"/>
          <w:szCs w:val="22"/>
        </w:rPr>
        <w:t>MADDE 18</w:t>
      </w:r>
      <w:r>
        <w:rPr>
          <w:rFonts w:ascii="Calibri" w:hAnsi="Calibri"/>
          <w:color w:val="1C283D"/>
          <w:sz w:val="22"/>
          <w:szCs w:val="22"/>
        </w:rPr>
        <w:t xml:space="preserve"> – (1) Yükseköğretim kurumları esaslarını ve başvuru koşullarını ilgili yönetim kurullarının teklifi ve senatolarının onayı ile belirleyerek,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programları düzenleyebilir.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programlarını tamamlayanlara eğitim aldıkları alanda sadece başarı belgesi (</w:t>
      </w:r>
      <w:proofErr w:type="spellStart"/>
      <w:r>
        <w:rPr>
          <w:rFonts w:ascii="Calibri" w:hAnsi="Calibri"/>
          <w:color w:val="1C283D"/>
          <w:sz w:val="22"/>
          <w:szCs w:val="22"/>
        </w:rPr>
        <w:t>yandal</w:t>
      </w:r>
      <w:proofErr w:type="spellEnd"/>
      <w:r>
        <w:rPr>
          <w:rFonts w:ascii="Calibri" w:hAnsi="Calibri"/>
          <w:color w:val="1C283D"/>
          <w:sz w:val="22"/>
          <w:szCs w:val="22"/>
        </w:rPr>
        <w:t xml:space="preserve"> sertifikası) düzenlenir. Bu belgeler diploma yerine geçmez.</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programlarının kontenjanları, ilgili programın açılmasına karar veren yönetim kurulu tarafından belirlenir.</w:t>
      </w:r>
    </w:p>
    <w:p w:rsidR="00CC27C7" w:rsidRDefault="00CC27C7" w:rsidP="00CC27C7">
      <w:pPr>
        <w:spacing w:line="240" w:lineRule="atLeast"/>
        <w:ind w:firstLine="567"/>
        <w:jc w:val="both"/>
        <w:rPr>
          <w:color w:val="1C283D"/>
        </w:rPr>
      </w:pPr>
      <w:r>
        <w:rPr>
          <w:rFonts w:ascii="Calibri" w:hAnsi="Calibri"/>
          <w:color w:val="1C283D"/>
          <w:sz w:val="22"/>
          <w:szCs w:val="22"/>
        </w:rPr>
        <w:t>(4) Başvurular, o programın yürütüldüğü ilgili yönetim kurulları tarafından değerlendirilir.</w:t>
      </w:r>
    </w:p>
    <w:p w:rsidR="00CC27C7" w:rsidRDefault="00CC27C7" w:rsidP="00CC27C7">
      <w:pPr>
        <w:spacing w:line="240" w:lineRule="atLeast"/>
        <w:ind w:firstLine="567"/>
        <w:jc w:val="both"/>
        <w:rPr>
          <w:color w:val="1C283D"/>
        </w:rPr>
      </w:pPr>
      <w:r>
        <w:rPr>
          <w:rFonts w:ascii="Calibri" w:hAnsi="Calibri"/>
          <w:b/>
          <w:bCs/>
          <w:color w:val="1C283D"/>
          <w:sz w:val="22"/>
          <w:szCs w:val="22"/>
        </w:rPr>
        <w:t>Başvuru süresi</w:t>
      </w:r>
    </w:p>
    <w:p w:rsidR="00CC27C7" w:rsidRDefault="00CC27C7" w:rsidP="00CC27C7">
      <w:pPr>
        <w:spacing w:line="240" w:lineRule="atLeast"/>
        <w:ind w:firstLine="567"/>
        <w:jc w:val="both"/>
        <w:rPr>
          <w:color w:val="1C283D"/>
        </w:rPr>
      </w:pPr>
      <w:r>
        <w:rPr>
          <w:rFonts w:ascii="Calibri" w:hAnsi="Calibri"/>
          <w:b/>
          <w:bCs/>
          <w:color w:val="1C283D"/>
          <w:sz w:val="22"/>
          <w:szCs w:val="22"/>
        </w:rPr>
        <w:t>MADDE 19</w:t>
      </w:r>
      <w:r>
        <w:rPr>
          <w:rFonts w:ascii="Calibri" w:hAnsi="Calibri"/>
          <w:color w:val="1C283D"/>
          <w:sz w:val="22"/>
          <w:szCs w:val="22"/>
        </w:rPr>
        <w:t xml:space="preserve"> – (1) Öğrenci,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w:t>
      </w:r>
      <w:proofErr w:type="spellStart"/>
      <w:r>
        <w:rPr>
          <w:rFonts w:ascii="Calibri" w:hAnsi="Calibri"/>
          <w:color w:val="1C283D"/>
          <w:sz w:val="22"/>
          <w:szCs w:val="22"/>
        </w:rPr>
        <w:t>anadal</w:t>
      </w:r>
      <w:proofErr w:type="spellEnd"/>
      <w:r>
        <w:rPr>
          <w:rFonts w:ascii="Calibri" w:hAnsi="Calibri"/>
          <w:color w:val="1C283D"/>
          <w:sz w:val="22"/>
          <w:szCs w:val="22"/>
        </w:rPr>
        <w:t xml:space="preserve"> lisans programının en erken üçüncü, en geç altıncı yarıyılın başında başvurabilir.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başvurduğu yarıyıla kadar aldığı lisans programındaki tüm kredili dersleri başarıyla tamamlamış olan öğrenciler başvurabilir.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Öğrencinin başvuru sırasında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programındaki genel not ortalamasının en az 100 üzerinden 65 olması gerekir. </w:t>
      </w:r>
    </w:p>
    <w:p w:rsidR="00CC27C7" w:rsidRDefault="00CC27C7" w:rsidP="00CC27C7">
      <w:pPr>
        <w:spacing w:line="240" w:lineRule="atLeast"/>
        <w:ind w:firstLine="567"/>
        <w:jc w:val="both"/>
        <w:rPr>
          <w:color w:val="1C283D"/>
        </w:rPr>
      </w:pPr>
      <w:r>
        <w:rPr>
          <w:rFonts w:ascii="Calibri" w:hAnsi="Calibri"/>
          <w:b/>
          <w:bCs/>
          <w:color w:val="1C283D"/>
          <w:sz w:val="22"/>
          <w:szCs w:val="22"/>
        </w:rPr>
        <w:t>Krediler</w:t>
      </w:r>
    </w:p>
    <w:p w:rsidR="00CC27C7" w:rsidRDefault="00CC27C7" w:rsidP="00CC27C7">
      <w:pPr>
        <w:spacing w:line="240" w:lineRule="atLeast"/>
        <w:ind w:firstLine="567"/>
        <w:jc w:val="both"/>
        <w:rPr>
          <w:color w:val="1C283D"/>
        </w:rPr>
      </w:pPr>
      <w:r>
        <w:rPr>
          <w:rFonts w:ascii="Calibri" w:hAnsi="Calibri"/>
          <w:b/>
          <w:bCs/>
          <w:color w:val="1C283D"/>
          <w:sz w:val="22"/>
          <w:szCs w:val="22"/>
        </w:rPr>
        <w:t>MADDE 20</w:t>
      </w:r>
      <w:r>
        <w:rPr>
          <w:rFonts w:ascii="Calibri" w:hAnsi="Calibri"/>
          <w:color w:val="1C283D"/>
          <w:sz w:val="22"/>
          <w:szCs w:val="22"/>
        </w:rPr>
        <w:t xml:space="preserve"> – (1)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başvurusu kabul edilen öğrenci,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 kapsamında, senato kararı ile belirlenmiş olan dersleri almak ve bu dersleri başarmak zorundadır.  Bu dersler ilgili bölümler arasında kararlaştırılır,  ilgili fakülte kurullarının ve üniversite senatosunun onayına sunulur.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 xml:space="preserve">-2/5/2014-28988)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devam edebilmesi için öğrencinin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programındaki not ortalamasının en az 100 üzerinden 60 olması şarttır. Bu şartı sağlayamayan öğrencinin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programından kaydı silinir. Öğrencinin başarılı olduğu ve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programına sayılmayan dersler, genel not ortalamasına </w:t>
      </w:r>
      <w:proofErr w:type="gramStart"/>
      <w:r>
        <w:rPr>
          <w:rFonts w:ascii="Calibri" w:hAnsi="Calibri"/>
          <w:color w:val="1C283D"/>
          <w:sz w:val="22"/>
          <w:szCs w:val="22"/>
        </w:rPr>
        <w:t>dahil</w:t>
      </w:r>
      <w:proofErr w:type="gramEnd"/>
      <w:r>
        <w:rPr>
          <w:rFonts w:ascii="Calibri" w:hAnsi="Calibri"/>
          <w:color w:val="1C283D"/>
          <w:sz w:val="22"/>
          <w:szCs w:val="22"/>
        </w:rPr>
        <w:t xml:space="preserve"> edilmeksizin transkript ve diploma ekinde yer alır.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programından mezuniyet hakkını elde eden ancak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programını bitiremeyen öğrencilere ilgili yönetim kurullarının kararı ile en fazla bir yarıyıl ek süre tanınır. </w:t>
      </w:r>
    </w:p>
    <w:p w:rsidR="00CC27C7" w:rsidRDefault="00CC27C7" w:rsidP="00CC27C7">
      <w:pPr>
        <w:spacing w:line="240" w:lineRule="atLeast"/>
        <w:ind w:firstLine="567"/>
        <w:jc w:val="both"/>
        <w:rPr>
          <w:color w:val="1C283D"/>
        </w:rPr>
      </w:pPr>
      <w:r>
        <w:rPr>
          <w:rFonts w:ascii="Calibri" w:hAnsi="Calibri"/>
          <w:b/>
          <w:bCs/>
          <w:color w:val="1C283D"/>
          <w:sz w:val="22"/>
          <w:szCs w:val="22"/>
        </w:rPr>
        <w:t>Mezuniyet</w:t>
      </w:r>
    </w:p>
    <w:p w:rsidR="00CC27C7" w:rsidRDefault="00CC27C7" w:rsidP="00CC27C7">
      <w:pPr>
        <w:spacing w:line="240" w:lineRule="atLeast"/>
        <w:ind w:firstLine="567"/>
        <w:jc w:val="both"/>
        <w:rPr>
          <w:color w:val="1C283D"/>
        </w:rPr>
      </w:pPr>
      <w:r>
        <w:rPr>
          <w:rFonts w:ascii="Calibri" w:hAnsi="Calibri"/>
          <w:b/>
          <w:bCs/>
          <w:color w:val="1C283D"/>
          <w:sz w:val="22"/>
          <w:szCs w:val="22"/>
        </w:rPr>
        <w:t>MADDE 21</w:t>
      </w:r>
      <w:r>
        <w:rPr>
          <w:rFonts w:ascii="Calibri" w:hAnsi="Calibri"/>
          <w:color w:val="1C283D"/>
          <w:sz w:val="22"/>
          <w:szCs w:val="22"/>
        </w:rPr>
        <w:t xml:space="preserve"> – (1) Öğrencinin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programındaki başarı durumu,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programındaki mezuniyetini etkilemez.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w:t>
      </w:r>
      <w:proofErr w:type="spellStart"/>
      <w:r>
        <w:rPr>
          <w:rFonts w:ascii="Calibri" w:hAnsi="Calibri"/>
          <w:color w:val="1C283D"/>
          <w:sz w:val="22"/>
          <w:szCs w:val="22"/>
        </w:rPr>
        <w:t>Yandal</w:t>
      </w:r>
      <w:proofErr w:type="spellEnd"/>
      <w:r>
        <w:rPr>
          <w:rFonts w:ascii="Calibri" w:hAnsi="Calibri"/>
          <w:color w:val="1C283D"/>
          <w:sz w:val="22"/>
          <w:szCs w:val="22"/>
        </w:rPr>
        <w:t xml:space="preserve"> öğrencisi, öğrenim sürecinin herhangi bir yarıyılında programı kendi isteğiyle bırakabilir.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programından kayıt sildiren öğrenci, aynı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tekrar kayıt yaptıramaz.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programından iki yarıyıl üst üste ders almayan öğrencinin bu programdan kaydı silinir.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programından çıkarılan öğrencilerin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 almış oldukları derslerin ne şekilde değerlendirileceği, senato tarafından belirlenir.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Senato kararı </w:t>
      </w:r>
      <w:proofErr w:type="gramStart"/>
      <w:r>
        <w:rPr>
          <w:rFonts w:ascii="Calibri" w:hAnsi="Calibri"/>
          <w:color w:val="1C283D"/>
          <w:sz w:val="22"/>
          <w:szCs w:val="22"/>
        </w:rPr>
        <w:t>ile,</w:t>
      </w:r>
      <w:proofErr w:type="gramEnd"/>
      <w:r>
        <w:rPr>
          <w:rFonts w:ascii="Calibri" w:hAnsi="Calibri"/>
          <w:color w:val="1C283D"/>
          <w:sz w:val="22"/>
          <w:szCs w:val="22"/>
        </w:rPr>
        <w:t xml:space="preserve">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programlarına ilişkin bu Yönetmelikte belirtilenlere ilave olarak yeni koşullar getirilebilir öngörülen asgari başarı notları yükseltilebilir.</w:t>
      </w:r>
    </w:p>
    <w:p w:rsidR="00CC27C7" w:rsidRDefault="00CC27C7" w:rsidP="00CC27C7">
      <w:pPr>
        <w:spacing w:line="240" w:lineRule="atLeast"/>
        <w:ind w:firstLine="567"/>
        <w:jc w:val="both"/>
        <w:rPr>
          <w:color w:val="1C283D"/>
        </w:rPr>
      </w:pPr>
      <w:r>
        <w:rPr>
          <w:rFonts w:ascii="Calibri" w:hAnsi="Calibri"/>
          <w:b/>
          <w:bCs/>
          <w:color w:val="1C283D"/>
          <w:sz w:val="22"/>
          <w:szCs w:val="22"/>
        </w:rPr>
        <w:t>Değişim programları ve özel öğrenci olarak ders alma</w:t>
      </w:r>
    </w:p>
    <w:p w:rsidR="00CC27C7" w:rsidRDefault="00CC27C7" w:rsidP="00CC27C7">
      <w:pPr>
        <w:spacing w:line="240" w:lineRule="atLeast"/>
        <w:ind w:firstLine="567"/>
        <w:jc w:val="both"/>
        <w:rPr>
          <w:color w:val="1C283D"/>
        </w:rPr>
      </w:pPr>
      <w:r>
        <w:rPr>
          <w:rFonts w:ascii="Calibri" w:hAnsi="Calibri"/>
          <w:b/>
          <w:bCs/>
          <w:color w:val="1C283D"/>
          <w:sz w:val="22"/>
          <w:szCs w:val="22"/>
        </w:rPr>
        <w:t>MADDE 22</w:t>
      </w:r>
      <w:r>
        <w:rPr>
          <w:rFonts w:ascii="Calibri" w:hAnsi="Calibri"/>
          <w:color w:val="1C283D"/>
          <w:sz w:val="22"/>
          <w:szCs w:val="22"/>
        </w:rPr>
        <w:t xml:space="preserve">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Öğrencinin özel öğrencilikte ve değişim programında geçirdiği süre, öğretim süresine </w:t>
      </w:r>
      <w:proofErr w:type="gramStart"/>
      <w:r>
        <w:rPr>
          <w:rFonts w:ascii="Calibri" w:hAnsi="Calibri"/>
          <w:color w:val="1C283D"/>
          <w:sz w:val="22"/>
          <w:szCs w:val="22"/>
        </w:rPr>
        <w:t>dahildir</w:t>
      </w:r>
      <w:proofErr w:type="gramEnd"/>
      <w:r>
        <w:rPr>
          <w:rFonts w:ascii="Calibri" w:hAnsi="Calibri"/>
          <w:color w:val="1C283D"/>
          <w:sz w:val="22"/>
          <w:szCs w:val="22"/>
        </w:rPr>
        <w:t>.</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 xml:space="preserve">-2/5/2014-28988)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Özel öğrencilikte ve değişim programındaki öğrenciler katkı payını kayıtlı olduğu yükseköğretim kurumuna öder. </w:t>
      </w:r>
    </w:p>
    <w:p w:rsidR="00CC27C7" w:rsidRDefault="00CC27C7" w:rsidP="00CC27C7">
      <w:pPr>
        <w:spacing w:line="240" w:lineRule="atLeast"/>
        <w:ind w:firstLine="567"/>
        <w:jc w:val="both"/>
        <w:rPr>
          <w:color w:val="1C283D"/>
        </w:rPr>
      </w:pPr>
      <w:r>
        <w:rPr>
          <w:rFonts w:ascii="Calibri" w:hAnsi="Calibri"/>
          <w:color w:val="1C283D"/>
          <w:sz w:val="22"/>
          <w:szCs w:val="22"/>
        </w:rPr>
        <w:t>(5) Özel öğrenci olarak yaz okullarına katılacak öğrenciler, yaz okulu ücretini dersi aldıkları yükseköğretim kurumuna öderler.</w:t>
      </w:r>
    </w:p>
    <w:p w:rsidR="00CC27C7" w:rsidRDefault="00CC27C7" w:rsidP="00CC27C7">
      <w:pPr>
        <w:spacing w:line="240" w:lineRule="atLeast"/>
        <w:ind w:firstLine="567"/>
        <w:jc w:val="both"/>
        <w:rPr>
          <w:color w:val="1C283D"/>
        </w:rPr>
      </w:pPr>
      <w:r>
        <w:rPr>
          <w:rFonts w:ascii="Calibri" w:hAnsi="Calibri"/>
          <w:color w:val="1C283D"/>
          <w:sz w:val="22"/>
          <w:szCs w:val="22"/>
        </w:rPr>
        <w:t>(6) Öğretim dili Türkçe olan programlarda öğrenim gören öğrencilerin öğretim dili yabancı dil olan programlardan da ders alabilmeleri için yabancı dil düzeylerinin yeterli olduğunu belgelemeleri gerekir.</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Yükseköğretim kurumlarında eşzamanlı öğrenim görme </w:t>
      </w:r>
    </w:p>
    <w:p w:rsidR="00CC27C7" w:rsidRDefault="00CC27C7" w:rsidP="00CC27C7">
      <w:pPr>
        <w:spacing w:line="240" w:lineRule="atLeast"/>
        <w:ind w:firstLine="567"/>
        <w:jc w:val="both"/>
        <w:rPr>
          <w:color w:val="1C283D"/>
        </w:rPr>
      </w:pPr>
      <w:r>
        <w:rPr>
          <w:rFonts w:ascii="Calibri" w:hAnsi="Calibri"/>
          <w:b/>
          <w:bCs/>
          <w:color w:val="1C283D"/>
          <w:sz w:val="22"/>
          <w:szCs w:val="22"/>
        </w:rPr>
        <w:t>MADDE 23</w:t>
      </w:r>
      <w:r>
        <w:rPr>
          <w:rFonts w:ascii="Calibri" w:hAnsi="Calibri"/>
          <w:color w:val="1C283D"/>
          <w:sz w:val="22"/>
          <w:szCs w:val="22"/>
        </w:rPr>
        <w:t xml:space="preserve"> – (1) Örgün öğretim yapan farklı yükseköğretim kurumlarına aynı yarıyılda </w:t>
      </w:r>
      <w:proofErr w:type="spellStart"/>
      <w:r>
        <w:rPr>
          <w:rFonts w:ascii="Calibri" w:hAnsi="Calibri"/>
          <w:color w:val="1C283D"/>
          <w:sz w:val="22"/>
          <w:szCs w:val="22"/>
        </w:rPr>
        <w:t>önlisans</w:t>
      </w:r>
      <w:proofErr w:type="spellEnd"/>
      <w:r>
        <w:rPr>
          <w:rFonts w:ascii="Calibri" w:hAnsi="Calibri"/>
          <w:color w:val="1C283D"/>
          <w:sz w:val="22"/>
          <w:szCs w:val="22"/>
        </w:rPr>
        <w:t xml:space="preserve"> ve lisans öğrenci kaydı yaptırılamaz ve öğrenim görülemez.</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Yükseköğretim kurumlarında herhangi bir örgün meslek yüksekokulu programına kayıtlı öğrenciler veya bu programlardan mezun olanlar,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sistemi ile yürütülmekte olan ve kontenjan sınırlaması olmayan ve okudukları veya mezun oldukları </w:t>
      </w:r>
      <w:proofErr w:type="spellStart"/>
      <w:r>
        <w:rPr>
          <w:rFonts w:ascii="Calibri" w:hAnsi="Calibri"/>
          <w:color w:val="1C283D"/>
          <w:sz w:val="22"/>
          <w:szCs w:val="22"/>
        </w:rPr>
        <w:t>önlisans</w:t>
      </w:r>
      <w:proofErr w:type="spellEnd"/>
      <w:r>
        <w:rPr>
          <w:rFonts w:ascii="Calibri" w:hAnsi="Calibri"/>
          <w:color w:val="1C283D"/>
          <w:sz w:val="22"/>
          <w:szCs w:val="22"/>
        </w:rPr>
        <w:t xml:space="preserve"> programından farklı olmak kaydıyla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w:t>
      </w:r>
      <w:proofErr w:type="spellStart"/>
      <w:r>
        <w:rPr>
          <w:rFonts w:ascii="Calibri" w:hAnsi="Calibri"/>
          <w:color w:val="1C283D"/>
          <w:sz w:val="22"/>
          <w:szCs w:val="22"/>
        </w:rPr>
        <w:t>önlisans</w:t>
      </w:r>
      <w:proofErr w:type="spellEnd"/>
      <w:r>
        <w:rPr>
          <w:rFonts w:ascii="Calibri" w:hAnsi="Calibri"/>
          <w:color w:val="1C283D"/>
          <w:sz w:val="22"/>
          <w:szCs w:val="22"/>
        </w:rPr>
        <w:t xml:space="preserve"> programlarına kayıt yaptırabilirler.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Yükseköğretim kurumlarının herhangi bir örgün lisans programında kayıtlı öğrenciler veya bu programlardan mezun olanlar,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sistemi ile yürütülmekte olan ve kontenjan sınırlaması olmayan ve okudukları veya mezun oldukları lisans programından farklı olmak kaydıyla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lisans veya ön lisans programlarına kayıt yaptırabilirler.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Örgün meslek yüksekokulu programları öğrencileri veya mezunlarından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w:t>
      </w:r>
      <w:proofErr w:type="spellStart"/>
      <w:r>
        <w:rPr>
          <w:rFonts w:ascii="Calibri" w:hAnsi="Calibri"/>
          <w:color w:val="1C283D"/>
          <w:sz w:val="22"/>
          <w:szCs w:val="22"/>
        </w:rPr>
        <w:t>önlisans</w:t>
      </w:r>
      <w:proofErr w:type="spellEnd"/>
      <w:r>
        <w:rPr>
          <w:rFonts w:ascii="Calibri" w:hAnsi="Calibri"/>
          <w:color w:val="1C283D"/>
          <w:sz w:val="22"/>
          <w:szCs w:val="22"/>
        </w:rPr>
        <w:t xml:space="preserve"> programına da kayıt yaptırmış olanlar lisans programlarına dikey geçiş işlemlerinde, mezun olacakları örgün meslek yüksekokulu veya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w:t>
      </w:r>
      <w:proofErr w:type="spellStart"/>
      <w:r>
        <w:rPr>
          <w:rFonts w:ascii="Calibri" w:hAnsi="Calibri"/>
          <w:color w:val="1C283D"/>
          <w:sz w:val="22"/>
          <w:szCs w:val="22"/>
        </w:rPr>
        <w:t>önlisans</w:t>
      </w:r>
      <w:proofErr w:type="spellEnd"/>
      <w:r>
        <w:rPr>
          <w:rFonts w:ascii="Calibri" w:hAnsi="Calibri"/>
          <w:color w:val="1C283D"/>
          <w:sz w:val="22"/>
          <w:szCs w:val="22"/>
        </w:rPr>
        <w:t xml:space="preserve"> programından birini tercih ederler.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 (5) Örgün öğretim ile birlikte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programına kaydolacak erkek öğrencilerin askerlik işlemleri, örgün öğretimdeki statülerine göre yapılır. Bu durumdaki öğrencilerin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programlarına kaydolmaları, askerlik işlemleri ile ilgili herhangi bir hak sağlamaz.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programlarına kayıt yaptırdıktan sonra örgün öğretimden kaydını sildiren öğrenciler bu durumlarını belgelendirmek koşuluyla askerlik işlemleri </w:t>
      </w:r>
      <w:proofErr w:type="gramStart"/>
      <w:r>
        <w:rPr>
          <w:rFonts w:ascii="Calibri" w:hAnsi="Calibri"/>
          <w:color w:val="1C283D"/>
          <w:sz w:val="22"/>
          <w:szCs w:val="22"/>
        </w:rPr>
        <w:t>dahil</w:t>
      </w:r>
      <w:proofErr w:type="gramEnd"/>
      <w:r>
        <w:rPr>
          <w:rFonts w:ascii="Calibri" w:hAnsi="Calibri"/>
          <w:color w:val="1C283D"/>
          <w:sz w:val="22"/>
          <w:szCs w:val="22"/>
        </w:rPr>
        <w:t xml:space="preserve"> tüm öğrencilik hizmetlerinden yararlanırlar.</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ALTINCI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Özel Durumlar</w:t>
      </w:r>
    </w:p>
    <w:p w:rsidR="00CC27C7" w:rsidRDefault="00CC27C7" w:rsidP="00CC27C7">
      <w:pPr>
        <w:spacing w:line="240" w:lineRule="atLeast"/>
        <w:ind w:firstLine="567"/>
        <w:jc w:val="both"/>
        <w:rPr>
          <w:color w:val="1C283D"/>
        </w:rPr>
      </w:pPr>
      <w:proofErr w:type="gramStart"/>
      <w:r>
        <w:rPr>
          <w:rFonts w:ascii="Calibri" w:hAnsi="Calibri"/>
          <w:b/>
          <w:bCs/>
          <w:color w:val="1C283D"/>
          <w:sz w:val="22"/>
          <w:szCs w:val="22"/>
        </w:rPr>
        <w:t>MADDE 24</w:t>
      </w:r>
      <w:r>
        <w:rPr>
          <w:rFonts w:ascii="Calibri" w:hAnsi="Calibri"/>
          <w:color w:val="1C283D"/>
          <w:sz w:val="22"/>
          <w:szCs w:val="22"/>
        </w:rPr>
        <w:t xml:space="preserve"> –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CC27C7" w:rsidRDefault="00CC27C7" w:rsidP="00CC27C7">
      <w:pPr>
        <w:spacing w:line="240" w:lineRule="atLeast"/>
        <w:ind w:firstLine="567"/>
        <w:jc w:val="both"/>
        <w:rPr>
          <w:color w:val="1C283D"/>
        </w:rPr>
      </w:pPr>
      <w:r>
        <w:rPr>
          <w:rFonts w:ascii="Calibri" w:hAnsi="Calibri"/>
          <w:color w:val="1C283D"/>
          <w:sz w:val="22"/>
          <w:szCs w:val="22"/>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Pr>
          <w:rFonts w:ascii="Calibri" w:hAnsi="Calibri"/>
          <w:color w:val="1C283D"/>
          <w:sz w:val="22"/>
          <w:szCs w:val="22"/>
        </w:rPr>
        <w:t>yıl sonu</w:t>
      </w:r>
      <w:proofErr w:type="gramEnd"/>
      <w:r>
        <w:rPr>
          <w:rFonts w:ascii="Calibri" w:hAnsi="Calibri"/>
          <w:color w:val="1C283D"/>
          <w:sz w:val="22"/>
          <w:szCs w:val="22"/>
        </w:rPr>
        <w:t xml:space="preserve">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CC27C7" w:rsidRDefault="00CC27C7" w:rsidP="00CC27C7">
      <w:pPr>
        <w:spacing w:line="240" w:lineRule="atLeast"/>
        <w:ind w:firstLine="567"/>
        <w:jc w:val="both"/>
        <w:rPr>
          <w:color w:val="1C283D"/>
        </w:rPr>
      </w:pPr>
      <w:r>
        <w:rPr>
          <w:rFonts w:ascii="Calibri" w:hAnsi="Calibri"/>
          <w:color w:val="1C283D"/>
          <w:sz w:val="22"/>
          <w:szCs w:val="22"/>
        </w:rPr>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YEDİNCİ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Çeşitli ve Son Hükümler</w:t>
      </w:r>
    </w:p>
    <w:p w:rsidR="00CC27C7" w:rsidRDefault="00CC27C7" w:rsidP="00CC27C7">
      <w:pPr>
        <w:spacing w:line="240" w:lineRule="atLeast"/>
        <w:ind w:firstLine="567"/>
        <w:jc w:val="both"/>
        <w:rPr>
          <w:color w:val="1C283D"/>
        </w:rPr>
      </w:pPr>
      <w:r>
        <w:rPr>
          <w:rFonts w:ascii="Calibri" w:hAnsi="Calibri"/>
          <w:b/>
          <w:bCs/>
          <w:color w:val="1C283D"/>
          <w:sz w:val="22"/>
          <w:szCs w:val="22"/>
        </w:rPr>
        <w:t>MADDE 25</w:t>
      </w:r>
      <w:r>
        <w:rPr>
          <w:rFonts w:ascii="Calibri" w:hAnsi="Calibri"/>
          <w:color w:val="1C283D"/>
          <w:sz w:val="22"/>
          <w:szCs w:val="22"/>
        </w:rPr>
        <w:t xml:space="preserve"> – (1) Değişim programlarına katılıp gittiği yükseköğretim kurumunda aldığı dersleri başarı ile tamamlayan öğrencilerin yarıyıl kaybına uğramamalarını sağlamak için iki yükseköğretim kurumu arasında değişim öncesi ders intibakını öngören protokol imzalanır.  </w:t>
      </w:r>
    </w:p>
    <w:p w:rsidR="00CC27C7" w:rsidRDefault="00CC27C7" w:rsidP="00CC27C7">
      <w:pPr>
        <w:spacing w:line="240" w:lineRule="atLeast"/>
        <w:ind w:firstLine="567"/>
        <w:jc w:val="both"/>
        <w:rPr>
          <w:color w:val="1C283D"/>
        </w:rPr>
      </w:pPr>
      <w:proofErr w:type="gramStart"/>
      <w:r>
        <w:rPr>
          <w:rFonts w:ascii="Calibri" w:hAnsi="Calibri"/>
          <w:color w:val="1C283D"/>
          <w:sz w:val="22"/>
          <w:szCs w:val="22"/>
        </w:rPr>
        <w:t>(2) 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roofErr w:type="gramEnd"/>
    </w:p>
    <w:p w:rsidR="00CC27C7" w:rsidRDefault="00CC27C7" w:rsidP="00CC27C7">
      <w:pPr>
        <w:spacing w:line="240" w:lineRule="atLeast"/>
        <w:ind w:firstLine="567"/>
        <w:jc w:val="both"/>
        <w:rPr>
          <w:color w:val="1C283D"/>
        </w:rPr>
      </w:pPr>
      <w:r>
        <w:rPr>
          <w:rFonts w:ascii="Calibri" w:hAnsi="Calibri"/>
          <w:color w:val="1C283D"/>
          <w:sz w:val="22"/>
          <w:szCs w:val="22"/>
        </w:rPr>
        <w:t>(3) 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Yönetmelik hükümlerine göre yapılır.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 xml:space="preserve">-2/5/2014-28988) </w:t>
      </w:r>
      <w:r>
        <w:rPr>
          <w:rFonts w:ascii="Calibri" w:hAnsi="Calibri"/>
          <w:color w:val="1C283D"/>
          <w:sz w:val="22"/>
          <w:szCs w:val="22"/>
        </w:rPr>
        <w:t xml:space="preserve">Dikey geçiş ile lisans programlarına yerleşen öğrencilerin diploma programından mezuniyet koşullarını sağlamaları halinde, lisans not ortalamaları </w:t>
      </w:r>
      <w:proofErr w:type="spellStart"/>
      <w:r>
        <w:rPr>
          <w:rFonts w:ascii="Calibri" w:hAnsi="Calibri"/>
          <w:color w:val="1C283D"/>
          <w:sz w:val="22"/>
          <w:szCs w:val="22"/>
        </w:rPr>
        <w:t>önlisans</w:t>
      </w:r>
      <w:proofErr w:type="spellEnd"/>
      <w:r>
        <w:rPr>
          <w:rFonts w:ascii="Calibri" w:hAnsi="Calibri"/>
          <w:color w:val="1C283D"/>
          <w:sz w:val="22"/>
          <w:szCs w:val="22"/>
        </w:rPr>
        <w:t xml:space="preserve"> programında alarak lisans programında intibakı yapılan dersler ile lisans eğitimi sırasında aldığı dersler üzerinden hesaplanır.</w:t>
      </w:r>
    </w:p>
    <w:p w:rsidR="00CC27C7" w:rsidRDefault="00CC27C7" w:rsidP="00CC27C7">
      <w:pPr>
        <w:spacing w:line="240" w:lineRule="atLeast"/>
        <w:ind w:firstLine="567"/>
        <w:jc w:val="both"/>
        <w:rPr>
          <w:color w:val="1C283D"/>
        </w:rPr>
      </w:pPr>
      <w:r>
        <w:rPr>
          <w:rFonts w:ascii="Calibri" w:hAnsi="Calibri"/>
          <w:color w:val="1C283D"/>
          <w:sz w:val="22"/>
          <w:szCs w:val="22"/>
        </w:rPr>
        <w:t>(5) Özel öğrenci veya değişim programına katılan öğrencilerin kurumlar arası yatay geçiş yapmaları halinde sadece kayıtlı oldukları diploma programında kabul edilmiş olan dersleri transfer edilebilir.</w:t>
      </w:r>
    </w:p>
    <w:p w:rsidR="00CC27C7" w:rsidRDefault="00CC27C7" w:rsidP="00CC27C7">
      <w:pPr>
        <w:spacing w:line="240" w:lineRule="atLeast"/>
        <w:ind w:firstLine="567"/>
        <w:jc w:val="both"/>
        <w:rPr>
          <w:color w:val="1C283D"/>
        </w:rPr>
      </w:pPr>
      <w:r>
        <w:rPr>
          <w:rFonts w:ascii="Calibri" w:hAnsi="Calibri"/>
          <w:b/>
          <w:bCs/>
          <w:color w:val="1C283D"/>
          <w:sz w:val="22"/>
          <w:szCs w:val="22"/>
        </w:rPr>
        <w:t>Yürürlükten kaldırılan yönetmelik</w:t>
      </w:r>
    </w:p>
    <w:p w:rsidR="00CC27C7" w:rsidRDefault="00CC27C7" w:rsidP="00CC27C7">
      <w:pPr>
        <w:spacing w:line="240" w:lineRule="atLeast"/>
        <w:ind w:firstLine="567"/>
        <w:jc w:val="both"/>
        <w:rPr>
          <w:color w:val="1C283D"/>
        </w:rPr>
      </w:pPr>
      <w:r>
        <w:rPr>
          <w:rFonts w:ascii="Calibri" w:hAnsi="Calibri"/>
          <w:b/>
          <w:bCs/>
          <w:color w:val="1C283D"/>
          <w:sz w:val="22"/>
          <w:szCs w:val="22"/>
        </w:rPr>
        <w:t>MADDE 26</w:t>
      </w:r>
      <w:r>
        <w:rPr>
          <w:rFonts w:ascii="Calibri" w:hAnsi="Calibri"/>
          <w:color w:val="1C283D"/>
          <w:sz w:val="22"/>
          <w:szCs w:val="22"/>
        </w:rPr>
        <w:t xml:space="preserve"> – (1) Bu Yönetmeliğin yürürlüğe girdiği tarih itibarıyla 21/10/1982 tarihli ve 17845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Yükseköğretim Kurumları Arasında </w:t>
      </w:r>
      <w:proofErr w:type="spellStart"/>
      <w:r>
        <w:rPr>
          <w:rFonts w:ascii="Calibri" w:hAnsi="Calibri"/>
          <w:color w:val="1C283D"/>
          <w:sz w:val="22"/>
          <w:szCs w:val="22"/>
        </w:rPr>
        <w:t>Önlisans</w:t>
      </w:r>
      <w:proofErr w:type="spellEnd"/>
      <w:r>
        <w:rPr>
          <w:rFonts w:ascii="Calibri" w:hAnsi="Calibri"/>
          <w:color w:val="1C283D"/>
          <w:sz w:val="22"/>
          <w:szCs w:val="22"/>
        </w:rPr>
        <w:t xml:space="preserve"> ve Lisans Düzeyinde Yatay Geçiş Esaslarına İlişkin Yönetmelik yürürlükten kaldırılmıştır.  </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Merkezi yerleştirme puanıyla yatay geçiş </w:t>
      </w:r>
    </w:p>
    <w:p w:rsidR="00CC27C7" w:rsidRDefault="00CC27C7" w:rsidP="00CC27C7">
      <w:pPr>
        <w:spacing w:line="240" w:lineRule="atLeast"/>
        <w:ind w:firstLine="567"/>
        <w:jc w:val="both"/>
        <w:rPr>
          <w:color w:val="1C283D"/>
        </w:rPr>
      </w:pPr>
      <w:r>
        <w:rPr>
          <w:rFonts w:ascii="Calibri" w:hAnsi="Calibri"/>
          <w:b/>
          <w:bCs/>
          <w:color w:val="1C283D"/>
          <w:sz w:val="22"/>
          <w:szCs w:val="22"/>
        </w:rPr>
        <w:t>EK MADDE 1 – (</w:t>
      </w:r>
      <w:proofErr w:type="gramStart"/>
      <w:r>
        <w:rPr>
          <w:rFonts w:ascii="Calibri" w:hAnsi="Calibri"/>
          <w:b/>
          <w:bCs/>
          <w:color w:val="1C283D"/>
          <w:sz w:val="22"/>
          <w:szCs w:val="22"/>
        </w:rPr>
        <w:t>Ek:RG</w:t>
      </w:r>
      <w:proofErr w:type="gramEnd"/>
      <w:r>
        <w:rPr>
          <w:rFonts w:ascii="Calibri" w:hAnsi="Calibri"/>
          <w:b/>
          <w:bCs/>
          <w:color w:val="1C283D"/>
          <w:sz w:val="22"/>
          <w:szCs w:val="22"/>
        </w:rPr>
        <w:t>-21/9/2013-28772) (Değişik:RG-2/5/2014-28988)</w:t>
      </w:r>
      <w:r>
        <w:rPr>
          <w:rFonts w:ascii="Calibri" w:hAnsi="Calibri"/>
          <w:color w:val="1C283D"/>
          <w:sz w:val="22"/>
          <w:szCs w:val="22"/>
        </w:rPr>
        <w:t xml:space="preserve">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(1) Öğrencinin kayıt olduğu yıldaki merkezi yerleştirme puanı, geçmek istediği diploma programının taban puanına eşit veya yüksek olması durumunda, öğrenci, hazırlık sınıfı da </w:t>
      </w:r>
      <w:proofErr w:type="gramStart"/>
      <w:r>
        <w:rPr>
          <w:rFonts w:ascii="Calibri" w:hAnsi="Calibri"/>
          <w:color w:val="1C283D"/>
          <w:sz w:val="22"/>
          <w:szCs w:val="22"/>
        </w:rPr>
        <w:t>dahil</w:t>
      </w:r>
      <w:proofErr w:type="gramEnd"/>
      <w:r>
        <w:rPr>
          <w:rFonts w:ascii="Calibri" w:hAnsi="Calibri"/>
          <w:color w:val="1C283D"/>
          <w:sz w:val="22"/>
          <w:szCs w:val="22"/>
        </w:rPr>
        <w:t xml:space="preserve">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 </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Özel durumlarda yatay geçiş </w:t>
      </w:r>
    </w:p>
    <w:p w:rsidR="00CC27C7" w:rsidRDefault="00CC27C7" w:rsidP="00CC27C7">
      <w:pPr>
        <w:spacing w:line="240" w:lineRule="atLeast"/>
        <w:ind w:firstLine="567"/>
        <w:jc w:val="both"/>
        <w:rPr>
          <w:color w:val="1C283D"/>
        </w:rPr>
      </w:pPr>
      <w:r>
        <w:rPr>
          <w:rFonts w:ascii="Calibri" w:hAnsi="Calibri"/>
          <w:b/>
          <w:bCs/>
          <w:color w:val="1C283D"/>
          <w:sz w:val="22"/>
          <w:szCs w:val="22"/>
        </w:rPr>
        <w:t>EK MADDE 2 – (</w:t>
      </w:r>
      <w:proofErr w:type="gramStart"/>
      <w:r>
        <w:rPr>
          <w:rFonts w:ascii="Calibri" w:hAnsi="Calibri"/>
          <w:b/>
          <w:bCs/>
          <w:color w:val="1C283D"/>
          <w:sz w:val="22"/>
          <w:szCs w:val="22"/>
        </w:rPr>
        <w:t>Ek:RG</w:t>
      </w:r>
      <w:proofErr w:type="gramEnd"/>
      <w:r>
        <w:rPr>
          <w:rFonts w:ascii="Calibri" w:hAnsi="Calibri"/>
          <w:b/>
          <w:bCs/>
          <w:color w:val="1C283D"/>
          <w:sz w:val="22"/>
          <w:szCs w:val="22"/>
        </w:rPr>
        <w:t xml:space="preserve">-21/9/2013-28772) </w:t>
      </w:r>
    </w:p>
    <w:p w:rsidR="00CC27C7" w:rsidRDefault="00CC27C7" w:rsidP="00CC27C7">
      <w:pPr>
        <w:spacing w:line="240" w:lineRule="atLeast"/>
        <w:ind w:firstLine="567"/>
        <w:jc w:val="both"/>
        <w:rPr>
          <w:color w:val="1C283D"/>
        </w:rPr>
      </w:pPr>
      <w:r>
        <w:rPr>
          <w:rFonts w:ascii="Calibri" w:hAnsi="Calibri"/>
          <w:color w:val="1C283D"/>
          <w:sz w:val="22"/>
          <w:szCs w:val="22"/>
        </w:rPr>
        <w:t>(1)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w:t>
      </w:r>
    </w:p>
    <w:p w:rsidR="00CC27C7" w:rsidRDefault="00CC27C7" w:rsidP="00CC27C7">
      <w:pPr>
        <w:spacing w:line="240" w:lineRule="atLeast"/>
        <w:ind w:firstLine="567"/>
        <w:jc w:val="both"/>
        <w:rPr>
          <w:color w:val="1C283D"/>
        </w:rPr>
      </w:pPr>
      <w:r>
        <w:rPr>
          <w:rFonts w:ascii="Calibri" w:hAnsi="Calibri"/>
          <w:b/>
          <w:bCs/>
          <w:color w:val="1C283D"/>
          <w:sz w:val="22"/>
          <w:szCs w:val="22"/>
        </w:rPr>
        <w:t>Sorunların çözümü</w:t>
      </w:r>
    </w:p>
    <w:p w:rsidR="00CC27C7" w:rsidRDefault="00CC27C7" w:rsidP="00CC27C7">
      <w:pPr>
        <w:spacing w:line="240" w:lineRule="atLeast"/>
        <w:ind w:firstLine="567"/>
        <w:jc w:val="both"/>
        <w:rPr>
          <w:color w:val="1C283D"/>
        </w:rPr>
      </w:pPr>
      <w:r>
        <w:rPr>
          <w:rFonts w:ascii="Calibri" w:hAnsi="Calibri"/>
          <w:b/>
          <w:bCs/>
          <w:color w:val="1C283D"/>
          <w:sz w:val="22"/>
          <w:szCs w:val="22"/>
        </w:rPr>
        <w:t>EK MADDE 3 – (</w:t>
      </w:r>
      <w:proofErr w:type="gramStart"/>
      <w:r>
        <w:rPr>
          <w:rFonts w:ascii="Calibri" w:hAnsi="Calibri"/>
          <w:b/>
          <w:bCs/>
          <w:color w:val="1C283D"/>
          <w:sz w:val="22"/>
          <w:szCs w:val="22"/>
        </w:rPr>
        <w:t>Ek:RG</w:t>
      </w:r>
      <w:proofErr w:type="gramEnd"/>
      <w:r>
        <w:rPr>
          <w:rFonts w:ascii="Calibri" w:hAnsi="Calibri"/>
          <w:b/>
          <w:bCs/>
          <w:color w:val="1C283D"/>
          <w:sz w:val="22"/>
          <w:szCs w:val="22"/>
        </w:rPr>
        <w:t xml:space="preserve">-2/5/2014-28988) </w:t>
      </w:r>
    </w:p>
    <w:p w:rsidR="00CC27C7" w:rsidRDefault="00CC27C7" w:rsidP="00CC27C7">
      <w:pPr>
        <w:spacing w:line="240" w:lineRule="atLeast"/>
        <w:ind w:firstLine="567"/>
        <w:jc w:val="both"/>
        <w:rPr>
          <w:color w:val="1C283D"/>
        </w:rPr>
      </w:pPr>
      <w:r>
        <w:rPr>
          <w:rFonts w:ascii="Calibri" w:hAnsi="Calibri"/>
          <w:color w:val="1C283D"/>
          <w:sz w:val="22"/>
          <w:szCs w:val="22"/>
        </w:rPr>
        <w:t>(1) Bu Yönetmelik hükümlerinin uygulanmasında ortaya çıkacak sorunların giderilmesinde Yükseköğretim Yürütme Kurulu yetkilidir.</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Mevcut çift </w:t>
      </w:r>
      <w:proofErr w:type="spellStart"/>
      <w:r>
        <w:rPr>
          <w:rFonts w:ascii="Calibri" w:hAnsi="Calibri"/>
          <w:b/>
          <w:bCs/>
          <w:color w:val="1C283D"/>
          <w:sz w:val="22"/>
          <w:szCs w:val="22"/>
        </w:rPr>
        <w:t>anadal</w:t>
      </w:r>
      <w:proofErr w:type="spellEnd"/>
      <w:r>
        <w:rPr>
          <w:rFonts w:ascii="Calibri" w:hAnsi="Calibri"/>
          <w:b/>
          <w:bCs/>
          <w:color w:val="1C283D"/>
          <w:sz w:val="22"/>
          <w:szCs w:val="22"/>
        </w:rPr>
        <w:t xml:space="preserve"> ve yan dal programları</w:t>
      </w:r>
    </w:p>
    <w:p w:rsidR="00CC27C7" w:rsidRDefault="00CC27C7" w:rsidP="00CC27C7">
      <w:pPr>
        <w:spacing w:line="240" w:lineRule="atLeast"/>
        <w:ind w:firstLine="567"/>
        <w:jc w:val="both"/>
        <w:rPr>
          <w:color w:val="1C283D"/>
        </w:rPr>
      </w:pPr>
      <w:r>
        <w:rPr>
          <w:rFonts w:ascii="Calibri" w:hAnsi="Calibri"/>
          <w:b/>
          <w:bCs/>
          <w:color w:val="1C283D"/>
          <w:sz w:val="22"/>
          <w:szCs w:val="22"/>
        </w:rPr>
        <w:t>GEÇİCİ MADDE 1</w:t>
      </w:r>
      <w:r>
        <w:rPr>
          <w:rFonts w:ascii="Calibri" w:hAnsi="Calibri"/>
          <w:color w:val="1C283D"/>
          <w:sz w:val="22"/>
          <w:szCs w:val="22"/>
        </w:rPr>
        <w:t xml:space="preserve"> – (1) Bu Yönetmeliğinin yürürlüğe girdiği tarihten önce uygulanmaya başlanan çift </w:t>
      </w:r>
      <w:proofErr w:type="spellStart"/>
      <w:r>
        <w:rPr>
          <w:rFonts w:ascii="Calibri" w:hAnsi="Calibri"/>
          <w:color w:val="1C283D"/>
          <w:sz w:val="22"/>
          <w:szCs w:val="22"/>
        </w:rPr>
        <w:t>anadal</w:t>
      </w:r>
      <w:proofErr w:type="spellEnd"/>
      <w:r>
        <w:rPr>
          <w:rFonts w:ascii="Calibri" w:hAnsi="Calibri"/>
          <w:color w:val="1C283D"/>
          <w:sz w:val="22"/>
          <w:szCs w:val="22"/>
        </w:rPr>
        <w:t xml:space="preserve"> ve yan dal programlarında, ilgili yükseköğretim kurumunun programın açılışında belirlediği esaslar uygulanır.</w:t>
      </w:r>
    </w:p>
    <w:p w:rsidR="00CC27C7" w:rsidRDefault="00CC27C7" w:rsidP="00CC27C7">
      <w:pPr>
        <w:spacing w:line="240" w:lineRule="atLeast"/>
        <w:ind w:firstLine="567"/>
        <w:jc w:val="both"/>
        <w:rPr>
          <w:color w:val="1C283D"/>
        </w:rPr>
      </w:pPr>
      <w:r>
        <w:rPr>
          <w:rFonts w:ascii="Calibri" w:hAnsi="Calibri"/>
          <w:b/>
          <w:bCs/>
          <w:color w:val="1C283D"/>
          <w:sz w:val="22"/>
          <w:szCs w:val="22"/>
        </w:rPr>
        <w:t>Yürürlük</w:t>
      </w:r>
    </w:p>
    <w:p w:rsidR="00CC27C7" w:rsidRDefault="00CC27C7" w:rsidP="00CC27C7">
      <w:pPr>
        <w:spacing w:line="240" w:lineRule="atLeast"/>
        <w:ind w:firstLine="567"/>
        <w:jc w:val="both"/>
        <w:rPr>
          <w:color w:val="1C283D"/>
        </w:rPr>
      </w:pPr>
      <w:r>
        <w:rPr>
          <w:rFonts w:ascii="Calibri" w:hAnsi="Calibri"/>
          <w:b/>
          <w:bCs/>
          <w:color w:val="1C283D"/>
          <w:sz w:val="22"/>
          <w:szCs w:val="22"/>
        </w:rPr>
        <w:t>MADDE 27</w:t>
      </w:r>
      <w:r>
        <w:rPr>
          <w:rFonts w:ascii="Calibri" w:hAnsi="Calibri"/>
          <w:color w:val="1C283D"/>
          <w:sz w:val="22"/>
          <w:szCs w:val="22"/>
        </w:rPr>
        <w:t xml:space="preserve"> – (1) Bu Yönetmeliğin kurumlar arası yatay geçişe ilişkin hükümleri 1/6/2010 tarihinde, diğer hükümleri yayımı tarihinde yürürlüğe girer.</w:t>
      </w:r>
    </w:p>
    <w:p w:rsidR="00CC27C7" w:rsidRDefault="00CC27C7" w:rsidP="00CC27C7">
      <w:pPr>
        <w:spacing w:line="240" w:lineRule="atLeast"/>
        <w:ind w:firstLine="567"/>
        <w:jc w:val="both"/>
        <w:rPr>
          <w:color w:val="1C283D"/>
        </w:rPr>
      </w:pPr>
      <w:r>
        <w:rPr>
          <w:rFonts w:ascii="Calibri" w:hAnsi="Calibri"/>
          <w:b/>
          <w:bCs/>
          <w:color w:val="1C283D"/>
          <w:sz w:val="22"/>
          <w:szCs w:val="22"/>
        </w:rPr>
        <w:t>Yürütme</w:t>
      </w:r>
    </w:p>
    <w:p w:rsidR="00CC27C7" w:rsidRDefault="00CC27C7" w:rsidP="00CC27C7">
      <w:pPr>
        <w:spacing w:line="240" w:lineRule="atLeast"/>
        <w:ind w:firstLine="567"/>
        <w:jc w:val="both"/>
        <w:rPr>
          <w:color w:val="1C283D"/>
        </w:rPr>
      </w:pPr>
      <w:r>
        <w:rPr>
          <w:rFonts w:ascii="Calibri" w:hAnsi="Calibri"/>
          <w:b/>
          <w:bCs/>
          <w:color w:val="1C283D"/>
          <w:sz w:val="22"/>
          <w:szCs w:val="22"/>
        </w:rPr>
        <w:t>MADDE 28</w:t>
      </w:r>
      <w:r>
        <w:rPr>
          <w:rFonts w:ascii="Calibri" w:hAnsi="Calibri"/>
          <w:color w:val="1C283D"/>
          <w:sz w:val="22"/>
          <w:szCs w:val="22"/>
        </w:rPr>
        <w:t xml:space="preserve"> – (1) Bu Yönetmelik hükümlerini Yükseköğretim Kurulu Başkanı yürütür.</w:t>
      </w:r>
    </w:p>
    <w:p w:rsidR="00CC27C7" w:rsidRDefault="00CC27C7" w:rsidP="00CC27C7">
      <w:pPr>
        <w:spacing w:line="240" w:lineRule="atLeast"/>
        <w:jc w:val="both"/>
        <w:rPr>
          <w:color w:val="1C283D"/>
        </w:rPr>
      </w:pPr>
      <w:r>
        <w:rPr>
          <w:rFonts w:ascii="Calibri" w:hAnsi="Calibri"/>
          <w:color w:val="1C283D"/>
          <w:sz w:val="22"/>
          <w:szCs w:val="22"/>
        </w:rPr>
        <w:t> </w:t>
      </w:r>
    </w:p>
    <w:p w:rsidR="00CC27C7" w:rsidRDefault="00CC27C7" w:rsidP="00CC27C7">
      <w:pPr>
        <w:spacing w:line="240" w:lineRule="atLeast"/>
        <w:jc w:val="both"/>
        <w:rPr>
          <w:color w:val="1C283D"/>
        </w:rPr>
      </w:pPr>
      <w:r>
        <w:rPr>
          <w:rFonts w:ascii="Calibri" w:hAnsi="Calibri"/>
          <w:color w:val="1C283D"/>
          <w:sz w:val="22"/>
          <w:szCs w:val="22"/>
        </w:rPr>
        <w:t> </w:t>
      </w:r>
    </w:p>
    <w:tbl>
      <w:tblPr>
        <w:tblW w:w="0" w:type="auto"/>
        <w:jc w:val="center"/>
        <w:tblCellMar>
          <w:left w:w="0" w:type="dxa"/>
          <w:right w:w="0" w:type="dxa"/>
        </w:tblCellMar>
        <w:tblLook w:val="04A0" w:firstRow="1" w:lastRow="0" w:firstColumn="1" w:lastColumn="0" w:noHBand="0" w:noVBand="1"/>
      </w:tblPr>
      <w:tblGrid>
        <w:gridCol w:w="670"/>
        <w:gridCol w:w="3600"/>
        <w:gridCol w:w="3600"/>
      </w:tblGrid>
      <w:tr w:rsidR="00CC27C7" w:rsidTr="00CC27C7">
        <w:trPr>
          <w:jc w:val="cent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7C7" w:rsidRDefault="00CC27C7">
            <w:pPr>
              <w:spacing w:line="240" w:lineRule="atLeast"/>
              <w:jc w:val="both"/>
              <w:rPr>
                <w:color w:val="1C283D"/>
              </w:rPr>
            </w:pPr>
            <w:r>
              <w:rPr>
                <w:rFonts w:ascii="Calibri" w:hAnsi="Calibri"/>
                <w:color w:val="1C283D"/>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Yönetmeliğin Yayımlandığı Resmî Gazete’nin</w:t>
            </w:r>
          </w:p>
        </w:tc>
      </w:tr>
      <w:tr w:rsidR="00CC27C7" w:rsidTr="00CC27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7C7" w:rsidRDefault="00CC27C7">
            <w:pPr>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Sayısı</w:t>
            </w:r>
          </w:p>
        </w:tc>
      </w:tr>
      <w:tr w:rsidR="00CC27C7" w:rsidTr="00CC27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7C7" w:rsidRDefault="00CC27C7">
            <w:pPr>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24/4/2010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27561</w:t>
            </w:r>
          </w:p>
        </w:tc>
      </w:tr>
      <w:tr w:rsidR="00CC27C7" w:rsidTr="00CC27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7C7" w:rsidRDefault="00CC27C7">
            <w:pPr>
              <w:rPr>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Yönetmelikte Değişiklik Yapan Yönetmeliklerin Yayımlandığı Resmî Gazetelerin</w:t>
            </w:r>
          </w:p>
        </w:tc>
      </w:tr>
      <w:tr w:rsidR="00CC27C7" w:rsidTr="00CC27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7C7" w:rsidRDefault="00CC27C7">
            <w:pPr>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Sayısı</w:t>
            </w:r>
          </w:p>
        </w:tc>
      </w:tr>
      <w:tr w:rsidR="00CC27C7" w:rsidTr="00CC27C7">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7C7" w:rsidRDefault="00CC27C7">
            <w:pPr>
              <w:spacing w:line="240" w:lineRule="atLeast"/>
              <w:jc w:val="both"/>
              <w:rPr>
                <w:color w:val="1C283D"/>
              </w:rPr>
            </w:pPr>
            <w:r>
              <w:rPr>
                <w:rFonts w:ascii="Calibri" w:hAnsi="Calibri"/>
                <w:color w:val="1C283D"/>
                <w:sz w:val="22"/>
                <w:szCs w:val="22"/>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16/8/2011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28027</w:t>
            </w:r>
          </w:p>
        </w:tc>
      </w:tr>
      <w:tr w:rsidR="00CC27C7" w:rsidTr="00CC27C7">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7C7" w:rsidRDefault="00CC27C7">
            <w:pPr>
              <w:spacing w:line="240" w:lineRule="atLeast"/>
              <w:jc w:val="both"/>
              <w:rPr>
                <w:color w:val="1C283D"/>
              </w:rPr>
            </w:pPr>
            <w:r>
              <w:rPr>
                <w:rFonts w:ascii="Calibri" w:hAnsi="Calibri"/>
                <w:color w:val="1C283D"/>
                <w:sz w:val="22"/>
                <w:szCs w:val="22"/>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21/9/2013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28772</w:t>
            </w:r>
          </w:p>
        </w:tc>
      </w:tr>
      <w:tr w:rsidR="00CC27C7" w:rsidTr="00CC27C7">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7C7" w:rsidRDefault="00CC27C7">
            <w:pPr>
              <w:spacing w:line="240" w:lineRule="atLeast"/>
              <w:jc w:val="both"/>
              <w:rPr>
                <w:color w:val="1C283D"/>
              </w:rPr>
            </w:pPr>
            <w:r>
              <w:rPr>
                <w:rFonts w:ascii="Calibri" w:hAnsi="Calibri"/>
                <w:color w:val="1C283D"/>
                <w:sz w:val="22"/>
                <w:szCs w:val="22"/>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2/5/2014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28988</w:t>
            </w:r>
          </w:p>
        </w:tc>
      </w:tr>
    </w:tbl>
    <w:p w:rsidR="0059702D" w:rsidRDefault="0059702D"/>
    <w:sectPr w:rsidR="0059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C7"/>
    <w:rsid w:val="00484AA9"/>
    <w:rsid w:val="0059702D"/>
    <w:rsid w:val="00CC27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50E9A-15F6-4D6C-85F8-9DBF858D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09623">
      <w:bodyDiv w:val="1"/>
      <w:marLeft w:val="0"/>
      <w:marRight w:val="0"/>
      <w:marTop w:val="0"/>
      <w:marBottom w:val="0"/>
      <w:divBdr>
        <w:top w:val="none" w:sz="0" w:space="0" w:color="auto"/>
        <w:left w:val="none" w:sz="0" w:space="0" w:color="auto"/>
        <w:bottom w:val="none" w:sz="0" w:space="0" w:color="auto"/>
        <w:right w:val="none" w:sz="0" w:space="0" w:color="auto"/>
      </w:divBdr>
      <w:divsChild>
        <w:div w:id="725180641">
          <w:marLeft w:val="0"/>
          <w:marRight w:val="0"/>
          <w:marTop w:val="100"/>
          <w:marBottom w:val="100"/>
          <w:divBdr>
            <w:top w:val="none" w:sz="0" w:space="0" w:color="auto"/>
            <w:left w:val="none" w:sz="0" w:space="0" w:color="auto"/>
            <w:bottom w:val="none" w:sz="0" w:space="0" w:color="auto"/>
            <w:right w:val="none" w:sz="0" w:space="0" w:color="auto"/>
          </w:divBdr>
          <w:divsChild>
            <w:div w:id="351106407">
              <w:marLeft w:val="0"/>
              <w:marRight w:val="0"/>
              <w:marTop w:val="0"/>
              <w:marBottom w:val="0"/>
              <w:divBdr>
                <w:top w:val="none" w:sz="0" w:space="0" w:color="auto"/>
                <w:left w:val="none" w:sz="0" w:space="0" w:color="auto"/>
                <w:bottom w:val="none" w:sz="0" w:space="0" w:color="auto"/>
                <w:right w:val="none" w:sz="0" w:space="0" w:color="auto"/>
              </w:divBdr>
              <w:divsChild>
                <w:div w:id="1120148579">
                  <w:marLeft w:val="0"/>
                  <w:marRight w:val="0"/>
                  <w:marTop w:val="0"/>
                  <w:marBottom w:val="0"/>
                  <w:divBdr>
                    <w:top w:val="none" w:sz="0" w:space="0" w:color="auto"/>
                    <w:left w:val="none" w:sz="0" w:space="0" w:color="auto"/>
                    <w:bottom w:val="none" w:sz="0" w:space="0" w:color="auto"/>
                    <w:right w:val="none" w:sz="0" w:space="0" w:color="auto"/>
                  </w:divBdr>
                  <w:divsChild>
                    <w:div w:id="11838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5650</Words>
  <Characters>32209</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new</cp:lastModifiedBy>
  <cp:revision>2</cp:revision>
  <dcterms:created xsi:type="dcterms:W3CDTF">2019-09-10T06:03:00Z</dcterms:created>
  <dcterms:modified xsi:type="dcterms:W3CDTF">2019-09-10T06:03:00Z</dcterms:modified>
</cp:coreProperties>
</file>