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28" w:rsidRPr="003D0D5A" w:rsidRDefault="00156E28" w:rsidP="00156E28">
      <w:pPr>
        <w:pStyle w:val="Default"/>
        <w:rPr>
          <w:sz w:val="28"/>
          <w:szCs w:val="28"/>
        </w:rPr>
      </w:pPr>
    </w:p>
    <w:p w:rsidR="00156E28" w:rsidRPr="003D0D5A" w:rsidRDefault="00156E28" w:rsidP="00156E28">
      <w:pPr>
        <w:pStyle w:val="Default"/>
        <w:jc w:val="right"/>
        <w:rPr>
          <w:sz w:val="28"/>
          <w:szCs w:val="28"/>
        </w:rPr>
      </w:pPr>
      <w:r w:rsidRPr="003D0D5A">
        <w:rPr>
          <w:b/>
          <w:bCs/>
          <w:sz w:val="28"/>
          <w:szCs w:val="28"/>
          <w:u w:val="single"/>
        </w:rPr>
        <w:t xml:space="preserve"> </w:t>
      </w:r>
    </w:p>
    <w:p w:rsidR="00156E28" w:rsidRPr="003D0D5A" w:rsidRDefault="00156E28" w:rsidP="00156E28">
      <w:pPr>
        <w:pStyle w:val="Default"/>
        <w:jc w:val="center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T.C. </w:t>
      </w:r>
    </w:p>
    <w:p w:rsidR="00156E28" w:rsidRPr="003D0D5A" w:rsidRDefault="000D0FC8" w:rsidP="00156E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DİCLE </w:t>
      </w:r>
      <w:r w:rsidR="00156E28" w:rsidRPr="003D0D5A">
        <w:rPr>
          <w:b/>
          <w:bCs/>
          <w:sz w:val="28"/>
          <w:szCs w:val="28"/>
        </w:rPr>
        <w:t xml:space="preserve">ÜNİVERSİTESİ </w:t>
      </w:r>
    </w:p>
    <w:p w:rsidR="00156E28" w:rsidRPr="003D0D5A" w:rsidRDefault="00156E28" w:rsidP="00156E28">
      <w:pPr>
        <w:pStyle w:val="Default"/>
        <w:jc w:val="center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MEVZUAT KOMİSYONU YÖNERGESİ </w:t>
      </w: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Amaç </w:t>
      </w: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Madde 1 – </w:t>
      </w:r>
      <w:r w:rsidRPr="003D0D5A">
        <w:rPr>
          <w:sz w:val="28"/>
          <w:szCs w:val="28"/>
        </w:rPr>
        <w:t xml:space="preserve">(1) Bu yönergenin amacı, Dicle Üniversitesi bünyesinde faaliyet gösterecek mevzuat komisyonunun kuruluş ve çalışma esaslarını belirlemektir. </w:t>
      </w:r>
    </w:p>
    <w:p w:rsidR="007415ED" w:rsidRDefault="007415ED" w:rsidP="00156E28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Kapsam </w:t>
      </w: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Madde 2 – </w:t>
      </w:r>
      <w:r w:rsidRPr="003D0D5A">
        <w:rPr>
          <w:sz w:val="28"/>
          <w:szCs w:val="28"/>
        </w:rPr>
        <w:t xml:space="preserve">(1) Bu yönerge, sadece Dicle Üniversitesiyle ilgili hukuki konularda, mevzuat komisyonu tarafından ifa edilecek görevleri kapsamaktadır. </w:t>
      </w:r>
    </w:p>
    <w:p w:rsidR="00156E28" w:rsidRPr="003D0D5A" w:rsidRDefault="00156E28" w:rsidP="00156E28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Yetkili Komisyon </w:t>
      </w: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Madde 3 – </w:t>
      </w:r>
      <w:r w:rsidRPr="003D0D5A">
        <w:rPr>
          <w:sz w:val="28"/>
          <w:szCs w:val="28"/>
        </w:rPr>
        <w:t xml:space="preserve">(1) Mevzuat Komisyonu, </w:t>
      </w:r>
      <w:r w:rsidR="00941D07">
        <w:rPr>
          <w:sz w:val="28"/>
          <w:szCs w:val="28"/>
        </w:rPr>
        <w:t xml:space="preserve">ilgili </w:t>
      </w:r>
      <w:r w:rsidRPr="003D0D5A">
        <w:rPr>
          <w:sz w:val="28"/>
          <w:szCs w:val="28"/>
        </w:rPr>
        <w:t>rektör yardımcısının başkanlığında, üniversite genel sekreteri</w:t>
      </w:r>
      <w:r w:rsidR="00941D07">
        <w:rPr>
          <w:sz w:val="28"/>
          <w:szCs w:val="28"/>
        </w:rPr>
        <w:t>, Rektörlük tarafından H</w:t>
      </w:r>
      <w:r w:rsidRPr="003D0D5A">
        <w:rPr>
          <w:sz w:val="28"/>
          <w:szCs w:val="28"/>
        </w:rPr>
        <w:t xml:space="preserve">ukuk </w:t>
      </w:r>
      <w:r w:rsidR="00941D07">
        <w:rPr>
          <w:sz w:val="28"/>
          <w:szCs w:val="28"/>
        </w:rPr>
        <w:t xml:space="preserve">Müşavirliğinde çalışan Avukatlar </w:t>
      </w:r>
      <w:r w:rsidRPr="003D0D5A">
        <w:rPr>
          <w:sz w:val="28"/>
          <w:szCs w:val="28"/>
        </w:rPr>
        <w:t xml:space="preserve">içinden atanan en az bir üye ve ayrıca incelenen konuya göre ihtiyaç duyulan idari birim yöneticilerinden bir veya bir kaçının katılımı ile oluşur. </w:t>
      </w: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sz w:val="28"/>
          <w:szCs w:val="28"/>
        </w:rPr>
        <w:t>(2) Komisyonun sıfata bağlı üyeliklerinde, görev süresi söz konusu değildir. Atanan hukuk</w:t>
      </w:r>
      <w:r w:rsidR="005C6052">
        <w:rPr>
          <w:sz w:val="28"/>
          <w:szCs w:val="28"/>
        </w:rPr>
        <w:t xml:space="preserve"> müşavirliği </w:t>
      </w:r>
      <w:proofErr w:type="gramStart"/>
      <w:r w:rsidR="005C6052">
        <w:rPr>
          <w:sz w:val="28"/>
          <w:szCs w:val="28"/>
        </w:rPr>
        <w:t xml:space="preserve">avukatı </w:t>
      </w:r>
      <w:r w:rsidRPr="003D0D5A">
        <w:rPr>
          <w:sz w:val="28"/>
          <w:szCs w:val="28"/>
        </w:rPr>
        <w:t xml:space="preserve"> için</w:t>
      </w:r>
      <w:proofErr w:type="gramEnd"/>
      <w:r w:rsidRPr="003D0D5A">
        <w:rPr>
          <w:sz w:val="28"/>
          <w:szCs w:val="28"/>
        </w:rPr>
        <w:t xml:space="preserve"> de aynı durum geçerli olup ihtiyaca göre gerekli değişiklikler yapılabilir. </w:t>
      </w:r>
    </w:p>
    <w:p w:rsidR="005C6052" w:rsidRDefault="005C6052" w:rsidP="00156E28">
      <w:pPr>
        <w:pStyle w:val="Default"/>
        <w:ind w:firstLine="851"/>
        <w:rPr>
          <w:b/>
          <w:bCs/>
          <w:sz w:val="28"/>
          <w:szCs w:val="28"/>
        </w:rPr>
      </w:pPr>
    </w:p>
    <w:p w:rsidR="00156E28" w:rsidRPr="003D0D5A" w:rsidRDefault="00156E28" w:rsidP="00156E28">
      <w:pPr>
        <w:pStyle w:val="Default"/>
        <w:ind w:firstLine="851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Komisyonun Görevleri </w:t>
      </w: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Madde 4 – </w:t>
      </w:r>
      <w:r w:rsidRPr="003D0D5A">
        <w:rPr>
          <w:sz w:val="28"/>
          <w:szCs w:val="28"/>
        </w:rPr>
        <w:t xml:space="preserve">(1) Komisyon, yeni </w:t>
      </w:r>
      <w:r w:rsidR="00207E40">
        <w:rPr>
          <w:sz w:val="28"/>
          <w:szCs w:val="28"/>
        </w:rPr>
        <w:t xml:space="preserve">düzenleme, </w:t>
      </w:r>
      <w:r w:rsidRPr="003D0D5A">
        <w:rPr>
          <w:sz w:val="28"/>
          <w:szCs w:val="28"/>
        </w:rPr>
        <w:t xml:space="preserve">norm çalışmaları ve danışmanlık hizmeti kapsamında aşağıdaki faaliyetleri gerçekleştirir: </w:t>
      </w:r>
    </w:p>
    <w:p w:rsidR="00156E28" w:rsidRPr="003D0D5A" w:rsidRDefault="00156E28" w:rsidP="00156E28">
      <w:pPr>
        <w:pStyle w:val="Default"/>
        <w:ind w:left="1067" w:hanging="360"/>
        <w:jc w:val="both"/>
        <w:rPr>
          <w:sz w:val="28"/>
          <w:szCs w:val="28"/>
        </w:rPr>
      </w:pPr>
      <w:r w:rsidRPr="003D0D5A">
        <w:rPr>
          <w:sz w:val="28"/>
          <w:szCs w:val="28"/>
        </w:rPr>
        <w:t xml:space="preserve">a) İhtiyaç duyulan </w:t>
      </w:r>
      <w:r w:rsidR="000C38BE" w:rsidRPr="003D0D5A">
        <w:rPr>
          <w:sz w:val="28"/>
          <w:szCs w:val="28"/>
        </w:rPr>
        <w:t xml:space="preserve">alanlarda </w:t>
      </w:r>
      <w:r w:rsidR="000C38BE">
        <w:rPr>
          <w:sz w:val="28"/>
          <w:szCs w:val="28"/>
        </w:rPr>
        <w:t xml:space="preserve">birimlerden gelen yönetmelik, </w:t>
      </w:r>
      <w:r w:rsidRPr="003D0D5A">
        <w:rPr>
          <w:sz w:val="28"/>
          <w:szCs w:val="28"/>
        </w:rPr>
        <w:t xml:space="preserve">yönerge ve diğer mevzuat </w:t>
      </w:r>
      <w:r w:rsidR="000C38BE">
        <w:rPr>
          <w:sz w:val="28"/>
          <w:szCs w:val="28"/>
        </w:rPr>
        <w:t>taslaklarını incelemek</w:t>
      </w:r>
      <w:r w:rsidRPr="003D0D5A">
        <w:rPr>
          <w:sz w:val="28"/>
          <w:szCs w:val="28"/>
        </w:rPr>
        <w:t xml:space="preserve">, </w:t>
      </w:r>
    </w:p>
    <w:p w:rsidR="00156E28" w:rsidRPr="003D0D5A" w:rsidRDefault="00156E28" w:rsidP="00156E28">
      <w:pPr>
        <w:pStyle w:val="Default"/>
        <w:ind w:left="1067" w:hanging="360"/>
        <w:jc w:val="both"/>
        <w:rPr>
          <w:sz w:val="28"/>
          <w:szCs w:val="28"/>
        </w:rPr>
      </w:pPr>
      <w:r w:rsidRPr="003D0D5A">
        <w:rPr>
          <w:sz w:val="28"/>
          <w:szCs w:val="28"/>
        </w:rPr>
        <w:t xml:space="preserve">b) Dicle Üniversitesi için kabul edilmiş bulunan düzenlemeleri yenilemek, gözden geçirerek sadeleştirmek ve aralarındaki uyumu sağlamak, </w:t>
      </w:r>
    </w:p>
    <w:p w:rsidR="00156E28" w:rsidRPr="003D0D5A" w:rsidRDefault="00156E28" w:rsidP="00156E28">
      <w:pPr>
        <w:pStyle w:val="Default"/>
        <w:ind w:left="1067" w:hanging="360"/>
        <w:jc w:val="both"/>
        <w:rPr>
          <w:sz w:val="28"/>
          <w:szCs w:val="28"/>
        </w:rPr>
      </w:pPr>
      <w:r w:rsidRPr="003D0D5A">
        <w:rPr>
          <w:sz w:val="28"/>
          <w:szCs w:val="28"/>
        </w:rPr>
        <w:t xml:space="preserve">c) Dicle Üniversitesiyle ilgili gerek genel nitelikli ve gerekse üniversiteye özgü, eğitimle alâkalı mevzuatın (yönetmelik, yönerge vb.) yorumlanması konusunda hizmet sunmak, </w:t>
      </w:r>
    </w:p>
    <w:p w:rsidR="00156E28" w:rsidRPr="003D0D5A" w:rsidRDefault="00156E28" w:rsidP="00156E28">
      <w:pPr>
        <w:pStyle w:val="Default"/>
        <w:ind w:left="1067" w:hanging="360"/>
        <w:jc w:val="both"/>
        <w:rPr>
          <w:sz w:val="28"/>
          <w:szCs w:val="28"/>
        </w:rPr>
      </w:pPr>
      <w:r w:rsidRPr="003D0D5A">
        <w:rPr>
          <w:sz w:val="28"/>
          <w:szCs w:val="28"/>
        </w:rPr>
        <w:t xml:space="preserve">d) </w:t>
      </w:r>
      <w:r w:rsidR="000C38BE">
        <w:rPr>
          <w:sz w:val="28"/>
          <w:szCs w:val="28"/>
        </w:rPr>
        <w:t xml:space="preserve">Mevzuatla ilgili </w:t>
      </w:r>
      <w:r w:rsidRPr="003D0D5A">
        <w:rPr>
          <w:sz w:val="28"/>
          <w:szCs w:val="28"/>
        </w:rPr>
        <w:t xml:space="preserve">Rektörlük tarafından iletilen diğer hukuki konularda görüş açıklamak. </w:t>
      </w:r>
    </w:p>
    <w:p w:rsidR="00156E28" w:rsidRPr="003D0D5A" w:rsidRDefault="00156E28" w:rsidP="00156E28">
      <w:pPr>
        <w:pStyle w:val="Default"/>
        <w:rPr>
          <w:sz w:val="28"/>
          <w:szCs w:val="28"/>
        </w:rPr>
      </w:pPr>
    </w:p>
    <w:p w:rsidR="00156E28" w:rsidRPr="003D0D5A" w:rsidRDefault="00156E28" w:rsidP="00156E28">
      <w:pPr>
        <w:pStyle w:val="Default"/>
        <w:ind w:firstLine="851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Komisyonun Çalışma Esasları </w:t>
      </w:r>
    </w:p>
    <w:p w:rsidR="00156E28" w:rsidRPr="003D0D5A" w:rsidRDefault="00156E28" w:rsidP="00156E28">
      <w:pPr>
        <w:pStyle w:val="Default"/>
        <w:ind w:firstLine="851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Madde 5 – </w:t>
      </w:r>
      <w:r w:rsidRPr="003D0D5A">
        <w:rPr>
          <w:sz w:val="28"/>
          <w:szCs w:val="28"/>
        </w:rPr>
        <w:t xml:space="preserve">(1) Komisyon, ilgili rektör yardımcısının talebi üzerine ve başkanlığında toplanır. </w:t>
      </w: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sz w:val="28"/>
          <w:szCs w:val="28"/>
        </w:rPr>
        <w:t xml:space="preserve">(2) Rektörlük veya üniversite birimleri tarafından komisyon gündemine getirilen konularda, yeni düzenleme veya mevcut düzenlemelerde tadil çalışması </w:t>
      </w:r>
      <w:r w:rsidRPr="003D0D5A">
        <w:rPr>
          <w:sz w:val="28"/>
          <w:szCs w:val="28"/>
        </w:rPr>
        <w:lastRenderedPageBreak/>
        <w:t xml:space="preserve">yapılmış ise hazırlanan öneri, gereği için üniversite </w:t>
      </w:r>
      <w:r w:rsidR="00B45D23">
        <w:rPr>
          <w:sz w:val="28"/>
          <w:szCs w:val="28"/>
        </w:rPr>
        <w:t xml:space="preserve">yönetim kurulu veya senatoya üyelerinin onayına sunulur. </w:t>
      </w:r>
      <w:r w:rsidRPr="003D0D5A">
        <w:rPr>
          <w:sz w:val="28"/>
          <w:szCs w:val="28"/>
        </w:rPr>
        <w:t xml:space="preserve"> </w:t>
      </w: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sz w:val="28"/>
          <w:szCs w:val="28"/>
        </w:rPr>
        <w:t>(3) Komisyon, Rektörlük veya üniversite birimleri tarafından hakkında hukuki görüş istenen</w:t>
      </w:r>
      <w:r w:rsidR="00207E40">
        <w:rPr>
          <w:sz w:val="28"/>
          <w:szCs w:val="28"/>
        </w:rPr>
        <w:t xml:space="preserve"> mevzuatla ilgili </w:t>
      </w:r>
      <w:r w:rsidRPr="003D0D5A">
        <w:rPr>
          <w:sz w:val="28"/>
          <w:szCs w:val="28"/>
        </w:rPr>
        <w:t xml:space="preserve">konuları inceler. Görüşünü, ihtiyaca göre sözlü veya yazılı olarak açıklar. </w:t>
      </w:r>
    </w:p>
    <w:p w:rsidR="00207E40" w:rsidRDefault="00207E40" w:rsidP="00156E28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Yürürlük </w:t>
      </w: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Madde 6 – </w:t>
      </w:r>
      <w:r w:rsidRPr="003D0D5A">
        <w:rPr>
          <w:sz w:val="28"/>
          <w:szCs w:val="28"/>
        </w:rPr>
        <w:t>(1) Bu yönerge, Dicle Üniversitesi Senatosu tarafından kabul edil</w:t>
      </w:r>
      <w:r w:rsidR="00207E40">
        <w:rPr>
          <w:sz w:val="28"/>
          <w:szCs w:val="28"/>
        </w:rPr>
        <w:t>diği</w:t>
      </w:r>
      <w:r w:rsidRPr="003D0D5A">
        <w:rPr>
          <w:sz w:val="28"/>
          <w:szCs w:val="28"/>
        </w:rPr>
        <w:t xml:space="preserve"> tarihte yürürlüğe girer. </w:t>
      </w:r>
    </w:p>
    <w:p w:rsidR="00156E28" w:rsidRPr="003D0D5A" w:rsidRDefault="00156E28" w:rsidP="00156E28">
      <w:pPr>
        <w:pStyle w:val="Default"/>
        <w:ind w:firstLine="851"/>
        <w:jc w:val="both"/>
        <w:rPr>
          <w:sz w:val="28"/>
          <w:szCs w:val="28"/>
        </w:rPr>
      </w:pPr>
      <w:r w:rsidRPr="003D0D5A">
        <w:rPr>
          <w:b/>
          <w:bCs/>
          <w:sz w:val="28"/>
          <w:szCs w:val="28"/>
        </w:rPr>
        <w:t xml:space="preserve">Yürütme </w:t>
      </w:r>
    </w:p>
    <w:p w:rsidR="00B863BF" w:rsidRDefault="00156E28" w:rsidP="00156E28">
      <w:pPr>
        <w:rPr>
          <w:rFonts w:ascii="Times New Roman" w:hAnsi="Times New Roman" w:cs="Times New Roman"/>
          <w:sz w:val="28"/>
          <w:szCs w:val="28"/>
        </w:rPr>
      </w:pPr>
      <w:r w:rsidRPr="003D0D5A">
        <w:rPr>
          <w:rFonts w:ascii="Times New Roman" w:hAnsi="Times New Roman" w:cs="Times New Roman"/>
          <w:b/>
          <w:bCs/>
          <w:sz w:val="28"/>
          <w:szCs w:val="28"/>
        </w:rPr>
        <w:t xml:space="preserve">Madde 7 – </w:t>
      </w:r>
      <w:r w:rsidRPr="003D0D5A">
        <w:rPr>
          <w:rFonts w:ascii="Times New Roman" w:hAnsi="Times New Roman" w:cs="Times New Roman"/>
          <w:sz w:val="28"/>
          <w:szCs w:val="28"/>
        </w:rPr>
        <w:t>(1) Bu yönerge, Dicle Üniversitesi Rektörü tarafından yürütülür.</w:t>
      </w:r>
    </w:p>
    <w:p w:rsidR="00DE76BF" w:rsidRDefault="00DE76BF" w:rsidP="00156E2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521"/>
        <w:tblW w:w="0" w:type="auto"/>
        <w:tblLayout w:type="fixed"/>
        <w:tblLook w:val="04A0" w:firstRow="1" w:lastRow="0" w:firstColumn="1" w:lastColumn="0" w:noHBand="0" w:noVBand="1"/>
      </w:tblPr>
      <w:tblGrid>
        <w:gridCol w:w="4244"/>
        <w:gridCol w:w="4825"/>
      </w:tblGrid>
      <w:tr w:rsidR="00DE76BF" w:rsidTr="00A3614B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Pr="00AB7FEE" w:rsidRDefault="00DE76BF" w:rsidP="00A3614B">
            <w:pPr>
              <w:spacing w:after="0" w:line="277" w:lineRule="exact"/>
              <w:ind w:left="2414" w:right="-239"/>
              <w:rPr>
                <w:b/>
              </w:rPr>
            </w:pP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Yöne</w:t>
            </w:r>
            <w:r>
              <w:rPr>
                <w:b/>
                <w:noProof/>
                <w:color w:val="000000"/>
                <w:spacing w:val="-2"/>
              </w:rPr>
              <w:t>rgenin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Kabul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Edildiği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Senato’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nun</w:t>
            </w:r>
          </w:p>
        </w:tc>
      </w:tr>
      <w:tr w:rsidR="00DE76BF" w:rsidTr="00A3614B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after="0" w:line="280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after="0" w:line="280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DE76BF" w:rsidTr="00A3614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Pr="003B1F5B" w:rsidRDefault="00DE76BF" w:rsidP="00A3614B">
            <w:pPr>
              <w:spacing w:line="28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Pr="003B1F5B" w:rsidRDefault="00DE76BF" w:rsidP="00A3614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E76BF" w:rsidTr="00A3614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80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80" w:lineRule="exact"/>
            </w:pPr>
          </w:p>
        </w:tc>
      </w:tr>
      <w:tr w:rsidR="00DE76BF" w:rsidTr="00A3614B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after="0" w:line="277" w:lineRule="exact"/>
              <w:ind w:left="1509" w:right="-239"/>
            </w:pP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Yöne</w:t>
            </w:r>
            <w:r>
              <w:rPr>
                <w:b/>
                <w:noProof/>
                <w:color w:val="000000"/>
                <w:spacing w:val="-2"/>
              </w:rPr>
              <w:t>rgenin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 xml:space="preserve"> Değişiklik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veya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İptali(*)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Yapılan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Resmi Gazete</w:t>
            </w:r>
          </w:p>
        </w:tc>
      </w:tr>
      <w:tr w:rsidR="00DE76BF" w:rsidTr="00A3614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DE76BF" w:rsidTr="00A3614B">
        <w:trPr>
          <w:trHeight w:hRule="exact" w:val="286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</w:tr>
      <w:tr w:rsidR="00DE76BF" w:rsidTr="00A3614B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</w:tr>
      <w:tr w:rsidR="00DE76BF" w:rsidTr="00A3614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</w:tr>
      <w:tr w:rsidR="00DE76BF" w:rsidTr="00A3614B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after="0" w:line="277" w:lineRule="exact"/>
              <w:ind w:left="30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Resmi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Gazetede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Yayımlanma</w:t>
            </w:r>
          </w:p>
        </w:tc>
      </w:tr>
      <w:tr w:rsidR="00DE76BF" w:rsidTr="00A3614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DE76BF" w:rsidTr="00A3614B">
        <w:trPr>
          <w:trHeight w:hRule="exact" w:val="264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</w:tr>
      <w:tr w:rsidR="00DE76BF" w:rsidTr="00A3614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</w:tr>
      <w:tr w:rsidR="00DE76BF" w:rsidTr="00A3614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76BF" w:rsidRDefault="00DE76BF" w:rsidP="00A3614B">
            <w:pPr>
              <w:spacing w:line="277" w:lineRule="exact"/>
            </w:pPr>
          </w:p>
        </w:tc>
      </w:tr>
    </w:tbl>
    <w:p w:rsidR="00DE76BF" w:rsidRPr="003D0D5A" w:rsidRDefault="00DE76BF" w:rsidP="00156E28">
      <w:pPr>
        <w:rPr>
          <w:rFonts w:ascii="Times New Roman" w:hAnsi="Times New Roman" w:cs="Times New Roman"/>
          <w:sz w:val="28"/>
          <w:szCs w:val="28"/>
        </w:rPr>
      </w:pPr>
    </w:p>
    <w:sectPr w:rsidR="00DE76BF" w:rsidRPr="003D0D5A" w:rsidSect="00B8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28"/>
    <w:rsid w:val="000C38BE"/>
    <w:rsid w:val="000D0FC8"/>
    <w:rsid w:val="00113811"/>
    <w:rsid w:val="001232DB"/>
    <w:rsid w:val="00156E28"/>
    <w:rsid w:val="00207E40"/>
    <w:rsid w:val="002D4C37"/>
    <w:rsid w:val="003D0D5A"/>
    <w:rsid w:val="00525BD4"/>
    <w:rsid w:val="005C6052"/>
    <w:rsid w:val="007415ED"/>
    <w:rsid w:val="00941D07"/>
    <w:rsid w:val="00B45D23"/>
    <w:rsid w:val="00B863BF"/>
    <w:rsid w:val="00BF7D7F"/>
    <w:rsid w:val="00CD505D"/>
    <w:rsid w:val="00DE76BF"/>
    <w:rsid w:val="00E33598"/>
    <w:rsid w:val="00E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9256"/>
  <w15:docId w15:val="{7236C6A6-D77A-4607-A92C-7646C8C7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56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new</cp:lastModifiedBy>
  <cp:revision>3</cp:revision>
  <dcterms:created xsi:type="dcterms:W3CDTF">2019-09-10T06:41:00Z</dcterms:created>
  <dcterms:modified xsi:type="dcterms:W3CDTF">2019-09-10T13:05:00Z</dcterms:modified>
</cp:coreProperties>
</file>